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5BC2" w:rsidRDefault="00115BC2" w:rsidP="00115BC2">
      <w:pPr>
        <w:widowControl w:val="0"/>
        <w:spacing w:after="0"/>
        <w:rPr>
          <w:rFonts w:ascii="Times New Roman" w:hAnsi="Times New Roman" w:cs="Times New Roman"/>
          <w:iCs/>
          <w:color w:val="6C0024"/>
          <w:spacing w:val="5"/>
          <w:sz w:val="64"/>
          <w:szCs w:val="64"/>
          <w14:ligatures w14:val="none"/>
        </w:rPr>
      </w:pPr>
      <w:r>
        <w:rPr>
          <w:rFonts w:ascii="Times New Roman" w:hAnsi="Times New Roman" w:cs="Times New Roman"/>
          <w:b/>
          <w:bCs/>
          <w:iCs/>
          <w:color w:val="6C0024"/>
          <w:spacing w:val="5"/>
          <w:sz w:val="64"/>
          <w:szCs w:val="64"/>
          <w14:ligatures w14:val="none"/>
        </w:rPr>
        <w:t>Nurses and Midwives</w:t>
      </w:r>
    </w:p>
    <w:p w:rsidR="00115BC2" w:rsidRDefault="00115BC2" w:rsidP="00115BC2">
      <w:pPr>
        <w:widowControl w:val="0"/>
        <w:spacing w:after="0"/>
        <w:rPr>
          <w:rFonts w:ascii="Times New Roman" w:hAnsi="Times New Roman" w:cs="Times New Roman"/>
          <w:iCs/>
          <w:color w:val="6C0024"/>
          <w:spacing w:val="5"/>
          <w:sz w:val="30"/>
          <w:szCs w:val="30"/>
          <w14:ligatures w14:val="none"/>
        </w:rPr>
      </w:pPr>
      <w:r>
        <w:rPr>
          <w:rFonts w:ascii="Times New Roman" w:hAnsi="Times New Roman" w:cs="Times New Roman"/>
          <w:iCs/>
          <w:color w:val="6C0024"/>
          <w:spacing w:val="5"/>
          <w:sz w:val="30"/>
          <w:szCs w:val="30"/>
          <w14:ligatures w14:val="none"/>
        </w:rPr>
        <w:t>2017 Factsheet</w:t>
      </w:r>
    </w:p>
    <w:p w:rsidR="00115BC2" w:rsidRDefault="00115BC2" w:rsidP="00115BC2">
      <w:pPr>
        <w:widowControl w:val="0"/>
        <w:rPr>
          <w14:ligatures w14:val="none"/>
        </w:rPr>
      </w:pPr>
      <w:r>
        <w:rPr>
          <w14:ligatures w14:val="none"/>
        </w:rPr>
        <w:t> </w:t>
      </w:r>
    </w:p>
    <w:p w:rsidR="00115BC2" w:rsidRDefault="00115BC2" w:rsidP="00115BC2">
      <w:pPr>
        <w:pStyle w:val="Default"/>
        <w:widowControl w:val="0"/>
        <w:rPr>
          <w14:ligatures w14:val="none"/>
        </w:rPr>
      </w:pPr>
      <w:r>
        <w:rPr>
          <w14:ligatures w14:val="none"/>
        </w:rPr>
        <w:t>All nurses and midwives must be registered with the Nursing and Midwifery Board of Australia (NMBA) and meet the NMBA's registration standards in order to practise in Australia. There are three divisions of registration: Enrolled Nurse (EN), Registered Nurse (RN), and Midwife (MW). Eligible practitioners may register in one or multiple divisions. Those who are registered as both a nurse and midwife are considered to hold dual registration.</w:t>
      </w:r>
    </w:p>
    <w:p w:rsidR="00115BC2" w:rsidRDefault="00115BC2" w:rsidP="00C87822">
      <w:pPr>
        <w:pStyle w:val="Heading1"/>
      </w:pPr>
      <w:r>
        <w:t>The Workforce</w:t>
      </w:r>
    </w:p>
    <w:p w:rsidR="00115BC2" w:rsidRDefault="00115BC2" w:rsidP="00115BC2">
      <w:pPr>
        <w:widowControl w:val="0"/>
        <w:rPr>
          <w:rFonts w:ascii="Times New Roman" w:hAnsi="Times New Roman" w:cs="Times New Roman"/>
          <w:sz w:val="24"/>
          <w:szCs w:val="24"/>
          <w14:ligatures w14:val="none"/>
        </w:rPr>
      </w:pPr>
      <w:proofErr w:type="gramStart"/>
      <w:r>
        <w:rPr>
          <w:rFonts w:ascii="Times New Roman" w:hAnsi="Times New Roman" w:cs="Times New Roman"/>
          <w:sz w:val="24"/>
          <w:szCs w:val="24"/>
          <w14:ligatures w14:val="none"/>
        </w:rPr>
        <w:t>Between 2014 and 2017, the total number of nurses and midwives with general or provisional registration increased by 7.4% from 348,444 to 374,216 (an average annual growth of 2.4%).</w:t>
      </w:r>
      <w:proofErr w:type="gramEnd"/>
      <w:r>
        <w:rPr>
          <w:rFonts w:ascii="Times New Roman" w:hAnsi="Times New Roman" w:cs="Times New Roman"/>
          <w:sz w:val="24"/>
          <w:szCs w:val="24"/>
          <w14:ligatures w14:val="none"/>
        </w:rPr>
        <w:t xml:space="preserve"> The number of employed nurses and midwives (‘workforce’) increased 7.7% from 300,077 to 323,122 over the same period. The nursing and midwifery unemployment rate has remained stable at approximately 3.0% of the labour force since 2014.</w:t>
      </w:r>
    </w:p>
    <w:p w:rsidR="00115BC2" w:rsidRDefault="00115BC2" w:rsidP="00115BC2">
      <w:pPr>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The following analysis of the nursing and midwifery ‘workforce’ is based on the number of employed nurses and midwives (</w:t>
      </w:r>
      <w:r>
        <w:rPr>
          <w:rFonts w:ascii="Times New Roman" w:hAnsi="Times New Roman" w:cs="Times New Roman"/>
          <w:sz w:val="24"/>
          <w:szCs w:val="24"/>
          <w:lang w:val="af-ZA"/>
          <w14:ligatures w14:val="none"/>
        </w:rPr>
        <w:t>323,122</w:t>
      </w:r>
      <w:r>
        <w:rPr>
          <w:rFonts w:ascii="Times New Roman" w:hAnsi="Times New Roman" w:cs="Times New Roman"/>
          <w:sz w:val="24"/>
          <w:szCs w:val="24"/>
          <w14:ligatures w14:val="none"/>
        </w:rPr>
        <w:t xml:space="preserve"> in </w:t>
      </w:r>
      <w:r w:rsidR="00C87822">
        <w:rPr>
          <w:rFonts w:ascii="Times New Roman" w:hAnsi="Times New Roman" w:cs="Times New Roman"/>
          <w:sz w:val="24"/>
          <w:szCs w:val="24"/>
          <w14:ligatures w14:val="none"/>
        </w:rPr>
        <w:t>2017) unless otherwise stated.</w:t>
      </w:r>
    </w:p>
    <w:p w:rsidR="00C87822" w:rsidRDefault="00115BC2" w:rsidP="00C87822">
      <w:pPr>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number of nurses and midwives holding dual registration has decreased 9.6% from 28,266 in 2014 to 25,548 in 2017. This is most likely due to </w:t>
      </w:r>
      <w:proofErr w:type="spellStart"/>
      <w:r>
        <w:rPr>
          <w:rFonts w:ascii="Times New Roman" w:hAnsi="Times New Roman" w:cs="Times New Roman"/>
          <w:sz w:val="24"/>
          <w:szCs w:val="24"/>
          <w14:ligatures w14:val="none"/>
        </w:rPr>
        <w:t>recency</w:t>
      </w:r>
      <w:proofErr w:type="spellEnd"/>
      <w:r>
        <w:rPr>
          <w:rFonts w:ascii="Times New Roman" w:hAnsi="Times New Roman" w:cs="Times New Roman"/>
          <w:sz w:val="24"/>
          <w:szCs w:val="24"/>
          <w14:ligatures w14:val="none"/>
        </w:rPr>
        <w:t xml:space="preserve"> of practice requirements. In line with this, the number of dual registrants who were employed has decreased 3.5% from 25,077 to 22,568 over the same period.</w:t>
      </w:r>
    </w:p>
    <w:p w:rsidR="00115BC2" w:rsidRDefault="00115BC2" w:rsidP="00C87822">
      <w:pPr>
        <w:pStyle w:val="Heading1"/>
      </w:pPr>
      <w:r>
        <w:t>Demographics</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89.0</w:t>
      </w:r>
      <w:r>
        <w:rPr>
          <w:rFonts w:ascii="Times New Roman" w:hAnsi="Times New Roman" w:cs="Times New Roman"/>
          <w:sz w:val="24"/>
          <w:szCs w:val="24"/>
          <w14:ligatures w14:val="none"/>
        </w:rPr>
        <w:t>% of the nursing and midwifery workforce was female. Since 2014, the number of males in the workforce has increased by 3,706 and they now comprise 11.0% of the workforce.</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average age of the workforce has decreased from </w:t>
      </w:r>
      <w:r>
        <w:rPr>
          <w:rFonts w:ascii="Times New Roman" w:hAnsi="Times New Roman" w:cs="Times New Roman"/>
          <w:sz w:val="24"/>
          <w:szCs w:val="24"/>
          <w:lang w:val="af-ZA"/>
          <w14:ligatures w14:val="none"/>
        </w:rPr>
        <w:t>44.5</w:t>
      </w:r>
      <w:r>
        <w:rPr>
          <w:rFonts w:ascii="Times New Roman" w:hAnsi="Times New Roman" w:cs="Times New Roman"/>
          <w:sz w:val="24"/>
          <w:szCs w:val="24"/>
          <w14:ligatures w14:val="none"/>
        </w:rPr>
        <w:t xml:space="preserve"> years in 2014 to </w:t>
      </w:r>
      <w:r>
        <w:rPr>
          <w:rFonts w:ascii="Times New Roman" w:hAnsi="Times New Roman" w:cs="Times New Roman"/>
          <w:sz w:val="24"/>
          <w:szCs w:val="24"/>
          <w:lang w:val="af-ZA"/>
          <w14:ligatures w14:val="none"/>
        </w:rPr>
        <w:t>44.1</w:t>
      </w:r>
      <w:r>
        <w:rPr>
          <w:rFonts w:ascii="Times New Roman" w:hAnsi="Times New Roman" w:cs="Times New Roman"/>
          <w:sz w:val="24"/>
          <w:szCs w:val="24"/>
          <w14:ligatures w14:val="none"/>
        </w:rPr>
        <w:t xml:space="preserve"> years in 2017.The proportion of nurses and midwives in the largest group (those aged 45-54 years) has decreased from 27.7% in 2014 to 24.9% in 2017.</w:t>
      </w:r>
    </w:p>
    <w:p w:rsidR="00115BC2" w:rsidRDefault="00115BC2" w:rsidP="00C87822">
      <w:pPr>
        <w:pStyle w:val="Heading2"/>
      </w:pPr>
      <w:r w:rsidRPr="00C87822">
        <w:t>Replacement</w:t>
      </w:r>
      <w:r>
        <w:t xml:space="preserve"> rate</w:t>
      </w:r>
    </w:p>
    <w:p w:rsidR="00115BC2" w:rsidRDefault="00115BC2" w:rsidP="00115BC2">
      <w:pPr>
        <w:widowControl w:val="0"/>
        <w:spacing w:before="120" w:after="0"/>
        <w:rPr>
          <w:rFonts w:ascii="Times New Roman" w:hAnsi="Times New Roman" w:cs="Times New Roman"/>
          <w:b/>
          <w:bCs/>
          <w:sz w:val="24"/>
          <w:szCs w:val="24"/>
          <w14:ligatures w14:val="none"/>
        </w:rPr>
      </w:pPr>
      <w:r>
        <w:rPr>
          <w:rFonts w:ascii="Times New Roman" w:hAnsi="Times New Roman" w:cs="Times New Roman"/>
          <w:sz w:val="24"/>
          <w:szCs w:val="24"/>
          <w14:ligatures w14:val="none"/>
        </w:rPr>
        <w:t>In 2017, there were 1.7</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new registrants for every nurse and midwife that did not renew their registration from 2016. In 2016, the replacement rate was 1.8.</w:t>
      </w:r>
    </w:p>
    <w:p w:rsidR="00115BC2" w:rsidRPr="00C87822" w:rsidRDefault="00115BC2" w:rsidP="00115BC2">
      <w:pPr>
        <w:widowControl w:val="0"/>
        <w:spacing w:before="120" w:after="0"/>
        <w:rPr>
          <w:rFonts w:ascii="Times New Roman" w:hAnsi="Times New Roman" w:cs="Times New Roman"/>
          <w14:ligatures w14:val="none"/>
        </w:rPr>
      </w:pPr>
      <w:r w:rsidRPr="00C87822">
        <w:rPr>
          <w:rFonts w:ascii="Times New Roman" w:hAnsi="Times New Roman" w:cs="Times New Roman"/>
          <w14:ligatures w14:val="none"/>
        </w:rPr>
        <w:t xml:space="preserve">Note: </w:t>
      </w:r>
      <w:proofErr w:type="gramStart"/>
      <w:r w:rsidRPr="00C87822">
        <w:rPr>
          <w:rFonts w:ascii="Times New Roman" w:hAnsi="Times New Roman" w:cs="Times New Roman"/>
          <w14:ligatures w14:val="none"/>
        </w:rPr>
        <w:t>the  replacement</w:t>
      </w:r>
      <w:proofErr w:type="gramEnd"/>
      <w:r w:rsidRPr="00C87822">
        <w:rPr>
          <w:rFonts w:ascii="Times New Roman" w:hAnsi="Times New Roman" w:cs="Times New Roman"/>
          <w14:ligatures w14:val="none"/>
        </w:rPr>
        <w:t xml:space="preserve"> rate differs to previously published figures as a large number of ‘new registrants’ had been  omitted due to data extraction dates.</w:t>
      </w:r>
    </w:p>
    <w:p w:rsidR="004D6D62" w:rsidRDefault="004D6D62">
      <w:pPr>
        <w:spacing w:after="0" w:line="240" w:lineRule="auto"/>
        <w:rPr>
          <w:rFonts w:ascii="Times New Roman" w:hAnsi="Times New Roman" w:cs="Times New Roman"/>
          <w:b/>
          <w:bCs/>
          <w:iCs/>
          <w:color w:val="5A1834"/>
          <w:spacing w:val="5"/>
          <w:sz w:val="24"/>
          <w:szCs w:val="24"/>
          <w14:ligatures w14:val="none"/>
        </w:rPr>
      </w:pPr>
      <w:r>
        <w:rPr>
          <w:rFonts w:ascii="Times New Roman" w:hAnsi="Times New Roman" w:cs="Times New Roman"/>
          <w:b/>
          <w:bCs/>
          <w:iCs/>
          <w:color w:val="5A1834"/>
          <w:spacing w:val="5"/>
          <w:sz w:val="24"/>
          <w:szCs w:val="24"/>
          <w14:ligatures w14:val="none"/>
        </w:rPr>
        <w:br w:type="page"/>
      </w:r>
    </w:p>
    <w:p w:rsidR="00115BC2" w:rsidRDefault="00115BC2" w:rsidP="00C87822">
      <w:pPr>
        <w:pStyle w:val="Heading2"/>
      </w:pPr>
      <w:r>
        <w:lastRenderedPageBreak/>
        <w:t>Hours worked</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Since 2014, the number of average hours worked per week has decreased by 0.3 hours to 33.4 hours in 2017. The majority of these hours were worked in a clinical role (average </w:t>
      </w:r>
      <w:r>
        <w:rPr>
          <w:rFonts w:ascii="Times New Roman" w:hAnsi="Times New Roman" w:cs="Times New Roman"/>
          <w:sz w:val="24"/>
          <w:szCs w:val="24"/>
          <w:lang w:val="af-ZA"/>
          <w14:ligatures w14:val="none"/>
        </w:rPr>
        <w:t>29.5</w:t>
      </w:r>
      <w:r>
        <w:rPr>
          <w:rFonts w:ascii="Times New Roman" w:hAnsi="Times New Roman" w:cs="Times New Roman"/>
          <w:sz w:val="24"/>
          <w:szCs w:val="24"/>
          <w14:ligatures w14:val="none"/>
        </w:rPr>
        <w:t xml:space="preserve"> hours per week).</w:t>
      </w:r>
    </w:p>
    <w:p w:rsidR="00115BC2" w:rsidRDefault="00115BC2" w:rsidP="00115BC2">
      <w:pPr>
        <w:widowControl w:val="0"/>
        <w:spacing w:before="18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male nurses and midwives worked more hours per week on average than females (37.3 hours vs </w:t>
      </w:r>
      <w:r>
        <w:rPr>
          <w:rFonts w:ascii="Times New Roman" w:hAnsi="Times New Roman" w:cs="Times New Roman"/>
          <w:sz w:val="24"/>
          <w:szCs w:val="24"/>
          <w:lang w:val="af-ZA"/>
          <w14:ligatures w14:val="none"/>
        </w:rPr>
        <w:t>32.9</w:t>
      </w:r>
      <w:r>
        <w:rPr>
          <w:rFonts w:ascii="Times New Roman" w:hAnsi="Times New Roman" w:cs="Times New Roman"/>
          <w:sz w:val="24"/>
          <w:szCs w:val="24"/>
          <w14:ligatures w14:val="none"/>
        </w:rPr>
        <w:t xml:space="preserve"> hours). The disparity in hours worked has decreased from an additional 4.6 hours for males in 2014 to 4.4 hours in </w:t>
      </w:r>
      <w:r>
        <w:rPr>
          <w:rFonts w:ascii="Times New Roman" w:hAnsi="Times New Roman" w:cs="Times New Roman"/>
          <w:sz w:val="22"/>
          <w:szCs w:val="22"/>
          <w14:ligatures w14:val="none"/>
        </w:rPr>
        <w:t>2017</w:t>
      </w:r>
      <w:r>
        <w:rPr>
          <w:rFonts w:ascii="Times New Roman" w:hAnsi="Times New Roman" w:cs="Times New Roman"/>
          <w:sz w:val="24"/>
          <w:szCs w:val="24"/>
          <w14:ligatures w14:val="none"/>
        </w:rPr>
        <w:t xml:space="preserve">. The 35-44 year age group reported the largest difference with males working an average of 6.5 hours more than females. </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Males in the 35-44 age </w:t>
      </w:r>
      <w:proofErr w:type="gramStart"/>
      <w:r>
        <w:rPr>
          <w:rFonts w:ascii="Times New Roman" w:hAnsi="Times New Roman" w:cs="Times New Roman"/>
          <w:sz w:val="24"/>
          <w:szCs w:val="24"/>
          <w14:ligatures w14:val="none"/>
        </w:rPr>
        <w:t>group</w:t>
      </w:r>
      <w:proofErr w:type="gramEnd"/>
      <w:r>
        <w:rPr>
          <w:rFonts w:ascii="Times New Roman" w:hAnsi="Times New Roman" w:cs="Times New Roman"/>
          <w:sz w:val="24"/>
          <w:szCs w:val="24"/>
          <w14:ligatures w14:val="none"/>
        </w:rPr>
        <w:t xml:space="preserve"> worked the most hours, at </w:t>
      </w:r>
      <w:r>
        <w:rPr>
          <w:rFonts w:ascii="Times New Roman" w:hAnsi="Times New Roman" w:cs="Times New Roman"/>
          <w:sz w:val="24"/>
          <w:szCs w:val="24"/>
          <w:lang w:val="af-ZA"/>
          <w14:ligatures w14:val="none"/>
        </w:rPr>
        <w:t>38.2</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 xml:space="preserve">hours per week on average. Among females, the most hours were worked by the under 25 </w:t>
      </w:r>
      <w:proofErr w:type="gramStart"/>
      <w:r>
        <w:rPr>
          <w:rFonts w:ascii="Times New Roman" w:hAnsi="Times New Roman" w:cs="Times New Roman"/>
          <w:sz w:val="24"/>
          <w:szCs w:val="24"/>
          <w14:ligatures w14:val="none"/>
        </w:rPr>
        <w:t>years</w:t>
      </w:r>
      <w:proofErr w:type="gramEnd"/>
      <w:r>
        <w:rPr>
          <w:rFonts w:ascii="Times New Roman" w:hAnsi="Times New Roman" w:cs="Times New Roman"/>
          <w:sz w:val="24"/>
          <w:szCs w:val="24"/>
          <w14:ligatures w14:val="none"/>
        </w:rPr>
        <w:t xml:space="preserve"> age</w:t>
      </w:r>
      <w:r>
        <w:rPr>
          <w:rFonts w:ascii="Times New Roman" w:hAnsi="Times New Roman" w:cs="Times New Roman"/>
          <w:color w:val="00B0F0"/>
          <w:sz w:val="24"/>
          <w:szCs w:val="24"/>
          <w14:ligatures w14:val="none"/>
        </w:rPr>
        <w:t xml:space="preserve"> </w:t>
      </w:r>
      <w:r>
        <w:rPr>
          <w:rFonts w:ascii="Times New Roman" w:hAnsi="Times New Roman" w:cs="Times New Roman"/>
          <w:sz w:val="24"/>
          <w:szCs w:val="24"/>
          <w14:ligatures w14:val="none"/>
        </w:rPr>
        <w:t xml:space="preserve">group at </w:t>
      </w:r>
      <w:r>
        <w:rPr>
          <w:rFonts w:ascii="Times New Roman" w:hAnsi="Times New Roman" w:cs="Times New Roman"/>
          <w:sz w:val="24"/>
          <w:szCs w:val="24"/>
          <w:lang w:val="af-ZA"/>
          <w14:ligatures w14:val="none"/>
        </w:rPr>
        <w:t>35.0</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hours per week on average.</w:t>
      </w:r>
    </w:p>
    <w:p w:rsidR="00115BC2" w:rsidRDefault="00115BC2" w:rsidP="00C87822">
      <w:pPr>
        <w:pStyle w:val="Heading2"/>
      </w:pPr>
      <w:r>
        <w:t>Job Role</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90.5% of nurses and midwives worked as clinicians - a small increase in comparison with 2014 (</w:t>
      </w:r>
      <w:r>
        <w:rPr>
          <w:rFonts w:ascii="Times New Roman" w:hAnsi="Times New Roman" w:cs="Times New Roman"/>
          <w:sz w:val="24"/>
          <w:szCs w:val="24"/>
          <w:lang w:val="af-ZA"/>
          <w14:ligatures w14:val="none"/>
        </w:rPr>
        <w:t>89.6</w:t>
      </w:r>
      <w:r>
        <w:rPr>
          <w:rFonts w:ascii="Times New Roman" w:hAnsi="Times New Roman" w:cs="Times New Roman"/>
          <w:sz w:val="24"/>
          <w:szCs w:val="24"/>
          <w14:ligatures w14:val="none"/>
        </w:rPr>
        <w:t>%)</w:t>
      </w:r>
    </w:p>
    <w:p w:rsidR="00115BC2" w:rsidRDefault="00115BC2" w:rsidP="00C87822">
      <w:pPr>
        <w:pStyle w:val="Heading2"/>
      </w:pPr>
      <w:r>
        <w:t>Principal work sector</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60.1</w:t>
      </w:r>
      <w:r>
        <w:rPr>
          <w:rFonts w:ascii="Times New Roman" w:hAnsi="Times New Roman" w:cs="Times New Roman"/>
          <w:sz w:val="24"/>
          <w:szCs w:val="24"/>
          <w14:ligatures w14:val="none"/>
        </w:rPr>
        <w:t xml:space="preserve">% of nurses and midwives worked only in the public sector, </w:t>
      </w:r>
      <w:r>
        <w:rPr>
          <w:rFonts w:ascii="Times New Roman" w:hAnsi="Times New Roman" w:cs="Times New Roman"/>
          <w:sz w:val="24"/>
          <w:szCs w:val="24"/>
          <w:lang w:val="af-ZA"/>
          <w14:ligatures w14:val="none"/>
        </w:rPr>
        <w:t>36.6</w:t>
      </w:r>
      <w:r>
        <w:rPr>
          <w:rFonts w:ascii="Times New Roman" w:hAnsi="Times New Roman" w:cs="Times New Roman"/>
          <w:sz w:val="24"/>
          <w:szCs w:val="24"/>
          <w14:ligatures w14:val="none"/>
        </w:rPr>
        <w:t xml:space="preserve">% only in the private sector and </w:t>
      </w:r>
      <w:r>
        <w:rPr>
          <w:rFonts w:ascii="Times New Roman" w:hAnsi="Times New Roman" w:cs="Times New Roman"/>
          <w:sz w:val="24"/>
          <w:szCs w:val="24"/>
          <w:lang w:val="af-ZA"/>
          <w14:ligatures w14:val="none"/>
        </w:rPr>
        <w:t>3.3</w:t>
      </w:r>
      <w:r>
        <w:rPr>
          <w:rFonts w:ascii="Times New Roman" w:hAnsi="Times New Roman" w:cs="Times New Roman"/>
          <w:sz w:val="24"/>
          <w:szCs w:val="24"/>
          <w14:ligatures w14:val="none"/>
        </w:rPr>
        <w:t xml:space="preserve">% in both. </w:t>
      </w:r>
    </w:p>
    <w:p w:rsidR="00115BC2" w:rsidRDefault="00115BC2" w:rsidP="00C87822">
      <w:pPr>
        <w:pStyle w:val="Heading2"/>
      </w:pPr>
      <w:r>
        <w:t>Principal area of practice</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workforce survey asks nurses and midwives the principal area of their main job, which may be in either nursing or midwifery. The ‘principal area of practice’ response items are different in the surveys for nurses and for midwives. For the purpose of this factsheet these responses have been combined into one list. </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ten principal areas of practice accounted for </w:t>
      </w:r>
      <w:r>
        <w:rPr>
          <w:rFonts w:ascii="Times New Roman" w:hAnsi="Times New Roman" w:cs="Times New Roman"/>
          <w:sz w:val="24"/>
          <w:szCs w:val="24"/>
          <w:lang w:val="af-ZA"/>
          <w14:ligatures w14:val="none"/>
        </w:rPr>
        <w:t>75.1</w:t>
      </w:r>
      <w:r>
        <w:rPr>
          <w:rFonts w:ascii="Times New Roman" w:hAnsi="Times New Roman" w:cs="Times New Roman"/>
          <w:sz w:val="24"/>
          <w:szCs w:val="24"/>
          <w14:ligatures w14:val="none"/>
        </w:rPr>
        <w:t xml:space="preserve">% of the nursing and midwifery workforce. In 2014, these same ‘top ten’ areas of practice also accounted for 75.1% of the workforce. </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Between 2014 and 2017, the number of nurses and midwives reporting that their principal area of practice in Medical increased 15.6%, Peri-operative increased 15.1% and Aged care increased 4.7%.</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2016, there was a change to the response options in the principal area of practice question in the survey (‘continuum of care’ was renamed ‘antenatal, intra-partum and post-partum care’). Consequently, there are large changes between 2014 and 2017 in the number of nurses and midwives who reported working in the Maternity care area of practice (decreased by 25.9%) and the number working in the Antenatal, intra-partum and post-partum, and neonatal care areas combined (increased by 190.5%).</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nurses and midwives whose principal area of practice was Management </w:t>
      </w:r>
      <w:r>
        <w:rPr>
          <w:rFonts w:ascii="Times New Roman" w:hAnsi="Times New Roman" w:cs="Times New Roman"/>
          <w:sz w:val="24"/>
          <w:szCs w:val="24"/>
          <w14:ligatures w14:val="none"/>
        </w:rPr>
        <w:lastRenderedPageBreak/>
        <w:t>reported the highest average hours per week (</w:t>
      </w:r>
      <w:r>
        <w:rPr>
          <w:rFonts w:ascii="Times New Roman" w:hAnsi="Times New Roman" w:cs="Times New Roman"/>
          <w:sz w:val="24"/>
          <w:szCs w:val="24"/>
          <w:lang w:val="af-ZA"/>
          <w14:ligatures w14:val="none"/>
        </w:rPr>
        <w:t>38.9</w:t>
      </w:r>
      <w:r>
        <w:rPr>
          <w:rFonts w:ascii="Times New Roman" w:hAnsi="Times New Roman" w:cs="Times New Roman"/>
          <w:sz w:val="24"/>
          <w:szCs w:val="24"/>
          <w14:ligatures w14:val="none"/>
        </w:rPr>
        <w:t xml:space="preserve"> hours</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and those working in the  Mental Health area of practice reported the second highest average hours worked per week (</w:t>
      </w:r>
      <w:r>
        <w:rPr>
          <w:rFonts w:ascii="Times New Roman" w:hAnsi="Times New Roman" w:cs="Times New Roman"/>
          <w:sz w:val="24"/>
          <w:szCs w:val="24"/>
          <w:lang w:val="af-ZA"/>
          <w14:ligatures w14:val="none"/>
        </w:rPr>
        <w:t>36.2</w:t>
      </w:r>
      <w:r>
        <w:rPr>
          <w:rFonts w:ascii="Times New Roman" w:hAnsi="Times New Roman" w:cs="Times New Roman"/>
          <w:sz w:val="24"/>
          <w:szCs w:val="24"/>
          <w14:ligatures w14:val="none"/>
        </w:rPr>
        <w:t xml:space="preserve"> hours). Nurses and midwives in almost all principal areas reported working 30 hours per week or more on average except those in Practice nursing (28.9 hours) and Health promotion (29.5 hours).</w:t>
      </w:r>
    </w:p>
    <w:p w:rsidR="00115BC2" w:rsidRDefault="00115BC2" w:rsidP="00C87822">
      <w:pPr>
        <w:pStyle w:val="Heading2"/>
      </w:pPr>
      <w:r>
        <w:t>Principal work setting</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61.4% of nurses and midwives worked primarily in a Hospital setting. Residential health care facilities were the next most common setting (12.9%) followed by Community health care services (7.3%). These were also the most common work setting in 2014. </w:t>
      </w:r>
    </w:p>
    <w:p w:rsidR="00115BC2" w:rsidRDefault="00115BC2" w:rsidP="00115BC2">
      <w:pPr>
        <w:widowControl w:val="0"/>
        <w:spacing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Between 2014 and 2017, the number of nurses and midwives working in Hospital settings increased by 8.5%, Residential health care facilities </w:t>
      </w:r>
      <w:r>
        <w:rPr>
          <w:rFonts w:ascii="Times New Roman" w:hAnsi="Times New Roman" w:cs="Times New Roman"/>
          <w:sz w:val="24"/>
          <w:szCs w:val="24"/>
          <w:lang w:val="af-ZA"/>
          <w14:ligatures w14:val="none"/>
        </w:rPr>
        <w:t>increased by 5.1</w:t>
      </w:r>
      <w:r>
        <w:rPr>
          <w:rFonts w:ascii="Times New Roman" w:hAnsi="Times New Roman" w:cs="Times New Roman"/>
          <w:sz w:val="24"/>
          <w:szCs w:val="24"/>
          <w14:ligatures w14:val="none"/>
        </w:rPr>
        <w:t xml:space="preserve">% and Community health care services increased by 1.8%. </w:t>
      </w:r>
    </w:p>
    <w:p w:rsidR="00115BC2" w:rsidRDefault="00115BC2" w:rsidP="00115BC2">
      <w:pPr>
        <w:widowControl w:val="0"/>
        <w:spacing w:after="0"/>
        <w:rPr>
          <w:rFonts w:ascii="Times New Roman" w:hAnsi="Times New Roman" w:cs="Times New Roman"/>
          <w:sz w:val="24"/>
          <w:szCs w:val="24"/>
          <w14:ligatures w14:val="none"/>
        </w:rPr>
      </w:pPr>
      <w:r>
        <w:rPr>
          <w:rFonts w:ascii="Times New Roman" w:hAnsi="Times New Roman" w:cs="Times New Roman"/>
          <w:sz w:val="24"/>
          <w:szCs w:val="24"/>
          <w14:ligatures w14:val="none"/>
        </w:rPr>
        <w:t>There have been changes to the response options in the principal work setting question in the survey (‘independent private practice’ was added in 2017, and ‘private midwifery practice’ was renamed ‘group midwifery practice/caseload’ in 2016). Consequently, there are changes between 2014 and 2017 in the number of nurses and midwives who reported working in Other, Other private practice and Group midwifery practice/caseload settings.</w:t>
      </w:r>
    </w:p>
    <w:p w:rsidR="00115BC2" w:rsidRDefault="00115BC2" w:rsidP="00C87822">
      <w:pPr>
        <w:pStyle w:val="Heading2"/>
      </w:pPr>
      <w:r>
        <w:t>Working Intentions</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nurses and midwives had worked 16</w:t>
      </w:r>
      <w:r>
        <w:rPr>
          <w:rFonts w:ascii="Times New Roman" w:hAnsi="Times New Roman" w:cs="Times New Roman"/>
          <w:color w:val="E6B9B8"/>
          <w:sz w:val="24"/>
          <w:szCs w:val="24"/>
          <w14:ligatures w14:val="none"/>
        </w:rPr>
        <w:t xml:space="preserve"> </w:t>
      </w:r>
      <w:r>
        <w:rPr>
          <w:rFonts w:ascii="Times New Roman" w:hAnsi="Times New Roman" w:cs="Times New Roman"/>
          <w:sz w:val="24"/>
          <w:szCs w:val="24"/>
          <w14:ligatures w14:val="none"/>
        </w:rPr>
        <w:t xml:space="preserve">years on average and intended to stay in the workforce for another </w:t>
      </w:r>
      <w:r>
        <w:rPr>
          <w:rFonts w:ascii="Times New Roman" w:hAnsi="Times New Roman" w:cs="Times New Roman"/>
          <w:sz w:val="24"/>
          <w:szCs w:val="24"/>
          <w:lang w:val="af-ZA"/>
          <w14:ligatures w14:val="none"/>
        </w:rPr>
        <w:t>17</w:t>
      </w:r>
      <w:r>
        <w:rPr>
          <w:rFonts w:ascii="Times New Roman" w:hAnsi="Times New Roman" w:cs="Times New Roman"/>
          <w:b/>
          <w:bCs/>
          <w:color w:val="FF6600"/>
          <w:sz w:val="24"/>
          <w:szCs w:val="24"/>
          <w14:ligatures w14:val="none"/>
        </w:rPr>
        <w:t xml:space="preserve"> </w:t>
      </w:r>
      <w:r>
        <w:rPr>
          <w:rFonts w:ascii="Times New Roman" w:hAnsi="Times New Roman" w:cs="Times New Roman"/>
          <w:sz w:val="24"/>
          <w:szCs w:val="24"/>
          <w14:ligatures w14:val="none"/>
        </w:rPr>
        <w:t>years. There were some gender differences: males reported having worked fewer years than females (13 years vs 16 years).</w:t>
      </w:r>
    </w:p>
    <w:p w:rsidR="00115BC2" w:rsidRDefault="00115BC2" w:rsidP="00C87822">
      <w:pPr>
        <w:pStyle w:val="Heading2"/>
        <w:rPr>
          <w:color w:val="7D2248"/>
        </w:rPr>
      </w:pPr>
      <w:r>
        <w:t>Initial qualification</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workforce survey asks where nurses and midwives obtained their initial qualification. In 2017, </w:t>
      </w:r>
      <w:r>
        <w:rPr>
          <w:rFonts w:ascii="Times New Roman" w:hAnsi="Times New Roman" w:cs="Times New Roman"/>
          <w:sz w:val="24"/>
          <w:szCs w:val="24"/>
          <w:lang w:val="af-ZA"/>
          <w14:ligatures w14:val="none"/>
        </w:rPr>
        <w:t>80.4</w:t>
      </w:r>
      <w:r>
        <w:rPr>
          <w:rFonts w:ascii="Times New Roman" w:hAnsi="Times New Roman" w:cs="Times New Roman"/>
          <w:sz w:val="24"/>
          <w:szCs w:val="24"/>
          <w14:ligatures w14:val="none"/>
        </w:rPr>
        <w:t xml:space="preserve">% obtained their initial qualification(s) in Australia, </w:t>
      </w:r>
      <w:r>
        <w:rPr>
          <w:rFonts w:ascii="Times New Roman" w:hAnsi="Times New Roman" w:cs="Times New Roman"/>
          <w:sz w:val="24"/>
          <w:szCs w:val="24"/>
          <w:lang w:val="af-ZA"/>
          <w14:ligatures w14:val="none"/>
        </w:rPr>
        <w:t>17.8</w:t>
      </w:r>
      <w:r>
        <w:rPr>
          <w:rFonts w:ascii="Times New Roman" w:hAnsi="Times New Roman" w:cs="Times New Roman"/>
          <w:sz w:val="24"/>
          <w:szCs w:val="24"/>
          <w14:ligatures w14:val="none"/>
        </w:rPr>
        <w:t xml:space="preserve">% obtained their initial qualification(s) overseas and </w:t>
      </w:r>
      <w:r>
        <w:rPr>
          <w:rFonts w:ascii="Times New Roman" w:hAnsi="Times New Roman" w:cs="Times New Roman"/>
          <w:sz w:val="24"/>
          <w:szCs w:val="24"/>
          <w:lang w:val="af-ZA"/>
          <w14:ligatures w14:val="none"/>
        </w:rPr>
        <w:t>0.4</w:t>
      </w:r>
      <w:r>
        <w:rPr>
          <w:rFonts w:ascii="Times New Roman" w:hAnsi="Times New Roman" w:cs="Times New Roman"/>
          <w:sz w:val="24"/>
          <w:szCs w:val="24"/>
          <w14:ligatures w14:val="none"/>
        </w:rPr>
        <w:t xml:space="preserve">% obtained both Australian and overseas qualifications. </w:t>
      </w:r>
    </w:p>
    <w:p w:rsidR="00115BC2" w:rsidRDefault="00115BC2" w:rsidP="00C87822">
      <w:pPr>
        <w:pStyle w:val="Heading1"/>
      </w:pPr>
      <w:r w:rsidRPr="00C87822">
        <w:t>Distribution</w:t>
      </w:r>
    </w:p>
    <w:p w:rsidR="00115BC2" w:rsidRDefault="00115BC2" w:rsidP="00C87822">
      <w:pPr>
        <w:pStyle w:val="Heading2"/>
      </w:pPr>
      <w:r>
        <w:t>State and territory</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more than three quarters (75.9%) of the workforce was located in three states: NSW</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r>
        <w:rPr>
          <w:rFonts w:ascii="Times New Roman" w:hAnsi="Times New Roman" w:cs="Times New Roman"/>
          <w:sz w:val="24"/>
          <w:szCs w:val="24"/>
          <w:lang w:val="af-ZA"/>
          <w14:ligatures w14:val="none"/>
        </w:rPr>
        <w:t>28.1</w:t>
      </w:r>
      <w:r>
        <w:rPr>
          <w:rFonts w:ascii="Times New Roman" w:hAnsi="Times New Roman" w:cs="Times New Roman"/>
          <w:sz w:val="24"/>
          <w:szCs w:val="24"/>
          <w14:ligatures w14:val="none"/>
        </w:rPr>
        <w:t>%), VIC</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r>
        <w:rPr>
          <w:rFonts w:ascii="Times New Roman" w:hAnsi="Times New Roman" w:cs="Times New Roman"/>
          <w:sz w:val="24"/>
          <w:szCs w:val="24"/>
          <w:lang w:val="af-ZA"/>
          <w14:ligatures w14:val="none"/>
        </w:rPr>
        <w:t>27.2</w:t>
      </w:r>
      <w:r>
        <w:rPr>
          <w:rFonts w:ascii="Times New Roman" w:hAnsi="Times New Roman" w:cs="Times New Roman"/>
          <w:sz w:val="24"/>
          <w:szCs w:val="24"/>
          <w14:ligatures w14:val="none"/>
        </w:rPr>
        <w:t>%) and QLD (</w:t>
      </w:r>
      <w:r>
        <w:rPr>
          <w:rFonts w:ascii="Times New Roman" w:hAnsi="Times New Roman" w:cs="Times New Roman"/>
          <w:sz w:val="24"/>
          <w:szCs w:val="24"/>
          <w:lang w:val="af-ZA"/>
          <w14:ligatures w14:val="none"/>
        </w:rPr>
        <w:t>20.6</w:t>
      </w:r>
      <w:proofErr w:type="gramStart"/>
      <w:r>
        <w:rPr>
          <w:rFonts w:ascii="Times New Roman" w:hAnsi="Times New Roman" w:cs="Times New Roman"/>
          <w:sz w:val="24"/>
          <w:szCs w:val="24"/>
          <w14:ligatures w14:val="none"/>
        </w:rPr>
        <w:t>%</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proofErr w:type="gramEnd"/>
      <w:r>
        <w:rPr>
          <w:rFonts w:ascii="Times New Roman" w:hAnsi="Times New Roman" w:cs="Times New Roman"/>
          <w:sz w:val="24"/>
          <w:szCs w:val="24"/>
          <w14:ligatures w14:val="none"/>
        </w:rPr>
        <w:t>.</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the highest rate of nurses and midwives per 100,000 population were in the </w:t>
      </w:r>
      <w:proofErr w:type="gramStart"/>
      <w:r>
        <w:rPr>
          <w:rFonts w:ascii="Times New Roman" w:hAnsi="Times New Roman" w:cs="Times New Roman"/>
          <w:sz w:val="24"/>
          <w:szCs w:val="24"/>
          <w14:ligatures w14:val="none"/>
        </w:rPr>
        <w:t>NT  and</w:t>
      </w:r>
      <w:proofErr w:type="gramEnd"/>
      <w:r>
        <w:rPr>
          <w:rFonts w:ascii="Times New Roman" w:hAnsi="Times New Roman" w:cs="Times New Roman"/>
          <w:sz w:val="24"/>
          <w:szCs w:val="24"/>
          <w14:ligatures w14:val="none"/>
        </w:rPr>
        <w:t xml:space="preserve"> SA while NSW and WA had the lowest rates. Between 2014 and 2017, QLD had the largest rate increase (</w:t>
      </w:r>
      <w:r>
        <w:rPr>
          <w:rFonts w:ascii="Times New Roman" w:hAnsi="Times New Roman" w:cs="Times New Roman"/>
          <w:sz w:val="24"/>
          <w:szCs w:val="24"/>
          <w:lang w:val="af-ZA"/>
          <w14:ligatures w14:val="none"/>
        </w:rPr>
        <w:t>111.7</w:t>
      </w:r>
      <w:r>
        <w:rPr>
          <w:rFonts w:ascii="Times New Roman" w:hAnsi="Times New Roman" w:cs="Times New Roman"/>
          <w:sz w:val="24"/>
          <w:szCs w:val="24"/>
          <w14:ligatures w14:val="none"/>
        </w:rPr>
        <w:t>)</w:t>
      </w:r>
      <w:proofErr w:type="gramStart"/>
      <w:r>
        <w:rPr>
          <w:rFonts w:ascii="Times New Roman" w:hAnsi="Times New Roman" w:cs="Times New Roman"/>
          <w:sz w:val="24"/>
          <w:szCs w:val="24"/>
          <w14:ligatures w14:val="none"/>
        </w:rPr>
        <w:t>,</w:t>
      </w:r>
      <w:proofErr w:type="gramEnd"/>
      <w:r>
        <w:rPr>
          <w:rFonts w:ascii="Times New Roman" w:hAnsi="Times New Roman" w:cs="Times New Roman"/>
          <w:sz w:val="24"/>
          <w:szCs w:val="24"/>
          <w14:ligatures w14:val="none"/>
        </w:rPr>
        <w:t xml:space="preserve"> conversely SA had the largest rate decrease (</w:t>
      </w:r>
      <w:r>
        <w:rPr>
          <w:rFonts w:ascii="Times New Roman" w:hAnsi="Times New Roman" w:cs="Times New Roman"/>
          <w:sz w:val="24"/>
          <w:szCs w:val="24"/>
          <w:lang w:val="af-ZA"/>
          <w14:ligatures w14:val="none"/>
        </w:rPr>
        <w:t>27.0</w:t>
      </w:r>
      <w:r>
        <w:rPr>
          <w:rFonts w:ascii="Times New Roman" w:hAnsi="Times New Roman" w:cs="Times New Roman"/>
          <w:sz w:val="24"/>
          <w:szCs w:val="24"/>
          <w14:ligatures w14:val="none"/>
        </w:rPr>
        <w:t>).</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lastRenderedPageBreak/>
        <w:t>From 2014 to 2017, the average hours worked per week decreased across all States and Territories. In 2017, nurses and midwives in the NT worked the highest average hours per week (</w:t>
      </w:r>
      <w:r>
        <w:rPr>
          <w:rFonts w:ascii="Times New Roman" w:hAnsi="Times New Roman" w:cs="Times New Roman"/>
          <w:sz w:val="24"/>
          <w:szCs w:val="24"/>
          <w:lang w:val="af-ZA"/>
          <w14:ligatures w14:val="none"/>
        </w:rPr>
        <w:t>38.2</w:t>
      </w:r>
      <w:r>
        <w:rPr>
          <w:rFonts w:ascii="Times New Roman" w:hAnsi="Times New Roman" w:cs="Times New Roman"/>
          <w:sz w:val="24"/>
          <w:szCs w:val="24"/>
          <w14:ligatures w14:val="none"/>
        </w:rPr>
        <w:t xml:space="preserve"> hours) and those in SA worked the fewest hours (</w:t>
      </w:r>
      <w:r>
        <w:rPr>
          <w:rFonts w:ascii="Times New Roman" w:hAnsi="Times New Roman" w:cs="Times New Roman"/>
          <w:sz w:val="24"/>
          <w:szCs w:val="24"/>
          <w:lang w:val="af-ZA"/>
          <w14:ligatures w14:val="none"/>
        </w:rPr>
        <w:t>31.8</w:t>
      </w:r>
      <w:r>
        <w:rPr>
          <w:rFonts w:ascii="Times New Roman" w:hAnsi="Times New Roman" w:cs="Times New Roman"/>
          <w:sz w:val="24"/>
          <w:szCs w:val="24"/>
          <w14:ligatures w14:val="none"/>
        </w:rPr>
        <w:t xml:space="preserve"> hours).  </w:t>
      </w:r>
    </w:p>
    <w:p w:rsidR="00115BC2" w:rsidRDefault="00115BC2" w:rsidP="00C87822">
      <w:pPr>
        <w:pStyle w:val="Heading2"/>
      </w:pPr>
      <w:r>
        <w:t>Remoteness area</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w:t>
      </w:r>
      <w:r>
        <w:rPr>
          <w:rFonts w:ascii="Times New Roman" w:hAnsi="Times New Roman" w:cs="Times New Roman"/>
          <w:sz w:val="24"/>
          <w:szCs w:val="24"/>
          <w:lang w:val="af-ZA"/>
          <w14:ligatures w14:val="none"/>
        </w:rPr>
        <w:t>2017</w:t>
      </w:r>
      <w:r>
        <w:rPr>
          <w:rFonts w:ascii="Times New Roman" w:hAnsi="Times New Roman" w:cs="Times New Roman"/>
          <w:sz w:val="24"/>
          <w:szCs w:val="24"/>
          <w14:ligatures w14:val="none"/>
        </w:rPr>
        <w:t xml:space="preserve">, </w:t>
      </w:r>
      <w:r>
        <w:rPr>
          <w:rFonts w:ascii="Times New Roman" w:hAnsi="Times New Roman" w:cs="Times New Roman"/>
          <w:sz w:val="24"/>
          <w:szCs w:val="24"/>
          <w:lang w:val="af-ZA"/>
          <w14:ligatures w14:val="none"/>
        </w:rPr>
        <w:t>72.3</w:t>
      </w:r>
      <w:r>
        <w:rPr>
          <w:rFonts w:ascii="Times New Roman" w:hAnsi="Times New Roman" w:cs="Times New Roman"/>
          <w:sz w:val="24"/>
          <w:szCs w:val="24"/>
          <w14:ligatures w14:val="none"/>
        </w:rPr>
        <w:t xml:space="preserve">% of nurses and midwives worked in Major cities, </w:t>
      </w:r>
      <w:r>
        <w:rPr>
          <w:rFonts w:ascii="Times New Roman" w:hAnsi="Times New Roman" w:cs="Times New Roman"/>
          <w:sz w:val="24"/>
          <w:szCs w:val="24"/>
          <w:lang w:val="af-ZA"/>
          <w14:ligatures w14:val="none"/>
        </w:rPr>
        <w:t>17.8</w:t>
      </w:r>
      <w:r>
        <w:rPr>
          <w:rFonts w:ascii="Times New Roman" w:hAnsi="Times New Roman" w:cs="Times New Roman"/>
          <w:sz w:val="24"/>
          <w:szCs w:val="24"/>
          <w14:ligatures w14:val="none"/>
        </w:rPr>
        <w:t xml:space="preserve">% in Inner regional, </w:t>
      </w:r>
      <w:r>
        <w:rPr>
          <w:rFonts w:ascii="Times New Roman" w:hAnsi="Times New Roman" w:cs="Times New Roman"/>
          <w:sz w:val="24"/>
          <w:szCs w:val="24"/>
          <w:lang w:val="af-ZA"/>
          <w14:ligatures w14:val="none"/>
        </w:rPr>
        <w:t>7.9</w:t>
      </w:r>
      <w:r>
        <w:rPr>
          <w:rFonts w:ascii="Times New Roman" w:hAnsi="Times New Roman" w:cs="Times New Roman"/>
          <w:sz w:val="24"/>
          <w:szCs w:val="24"/>
          <w14:ligatures w14:val="none"/>
        </w:rPr>
        <w:t xml:space="preserve">% in Outer regional and 2.0% in Remote/Very remote locations. </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2014, the proportions of the workforce across remoteness areas were similar, with </w:t>
      </w:r>
      <w:r>
        <w:rPr>
          <w:rFonts w:ascii="Times New Roman" w:hAnsi="Times New Roman" w:cs="Times New Roman"/>
          <w:sz w:val="24"/>
          <w:szCs w:val="24"/>
          <w:lang w:val="af-ZA"/>
          <w14:ligatures w14:val="none"/>
        </w:rPr>
        <w:t>71.7</w:t>
      </w:r>
      <w:r>
        <w:rPr>
          <w:rFonts w:ascii="Times New Roman" w:hAnsi="Times New Roman" w:cs="Times New Roman"/>
          <w:sz w:val="24"/>
          <w:szCs w:val="24"/>
          <w14:ligatures w14:val="none"/>
        </w:rPr>
        <w:t xml:space="preserve">% working in Major cities, </w:t>
      </w:r>
      <w:r>
        <w:rPr>
          <w:rFonts w:ascii="Times New Roman" w:hAnsi="Times New Roman" w:cs="Times New Roman"/>
          <w:sz w:val="24"/>
          <w:szCs w:val="24"/>
          <w:lang w:val="af-ZA"/>
          <w14:ligatures w14:val="none"/>
        </w:rPr>
        <w:t>18.1</w:t>
      </w:r>
      <w:r>
        <w:rPr>
          <w:rFonts w:ascii="Times New Roman" w:hAnsi="Times New Roman" w:cs="Times New Roman"/>
          <w:sz w:val="24"/>
          <w:szCs w:val="24"/>
          <w14:ligatures w14:val="none"/>
        </w:rPr>
        <w:t xml:space="preserve">% in Inner regional, </w:t>
      </w:r>
      <w:r>
        <w:rPr>
          <w:rFonts w:ascii="Times New Roman" w:hAnsi="Times New Roman" w:cs="Times New Roman"/>
          <w:sz w:val="24"/>
          <w:szCs w:val="24"/>
          <w:lang w:val="af-ZA"/>
          <w14:ligatures w14:val="none"/>
        </w:rPr>
        <w:t>8.1</w:t>
      </w:r>
      <w:r>
        <w:rPr>
          <w:rFonts w:ascii="Times New Roman" w:hAnsi="Times New Roman" w:cs="Times New Roman"/>
          <w:sz w:val="24"/>
          <w:szCs w:val="24"/>
          <w14:ligatures w14:val="none"/>
        </w:rPr>
        <w:t xml:space="preserve">% in Outer regional and </w:t>
      </w:r>
      <w:r>
        <w:rPr>
          <w:rFonts w:ascii="Times New Roman" w:hAnsi="Times New Roman" w:cs="Times New Roman"/>
          <w:sz w:val="24"/>
          <w:szCs w:val="24"/>
          <w:lang w:val="af-ZA"/>
          <w14:ligatures w14:val="none"/>
        </w:rPr>
        <w:t>2.1</w:t>
      </w:r>
      <w:r>
        <w:rPr>
          <w:rFonts w:ascii="Times New Roman" w:hAnsi="Times New Roman" w:cs="Times New Roman"/>
          <w:sz w:val="24"/>
          <w:szCs w:val="24"/>
          <w14:ligatures w14:val="none"/>
        </w:rPr>
        <w:t xml:space="preserve">% in Remote/Very remote locations. </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the average hours worked generally increased with remoteness, from </w:t>
      </w:r>
      <w:r>
        <w:rPr>
          <w:rFonts w:ascii="Times New Roman" w:hAnsi="Times New Roman" w:cs="Times New Roman"/>
          <w:sz w:val="24"/>
          <w:szCs w:val="24"/>
          <w:lang w:val="af-ZA"/>
          <w14:ligatures w14:val="none"/>
        </w:rPr>
        <w:t>32.6</w:t>
      </w:r>
      <w:r>
        <w:rPr>
          <w:rFonts w:ascii="Times New Roman" w:hAnsi="Times New Roman" w:cs="Times New Roman"/>
          <w:sz w:val="24"/>
          <w:szCs w:val="24"/>
          <w14:ligatures w14:val="none"/>
        </w:rPr>
        <w:t xml:space="preserve"> hours in Inner regional to 40.5 hours in Very Remote areas.</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Between 2014 and 2017, there was a decrease in average hours worked across all remoteness areas.</w:t>
      </w:r>
    </w:p>
    <w:p w:rsidR="00115BC2" w:rsidRDefault="00115BC2" w:rsidP="00C87822">
      <w:pPr>
        <w:pStyle w:val="Heading2"/>
        <w:rPr>
          <w:sz w:val="18"/>
          <w:szCs w:val="18"/>
        </w:rPr>
      </w:pPr>
      <w:r>
        <w:rPr>
          <w:color w:val="6C0024"/>
        </w:rPr>
        <w:t xml:space="preserve">Modified </w:t>
      </w:r>
      <w:r>
        <w:t>Monash Model</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the majority of FTE Nurses and midwives (</w:t>
      </w:r>
      <w:r>
        <w:rPr>
          <w:rFonts w:ascii="Times New Roman" w:hAnsi="Times New Roman" w:cs="Times New Roman"/>
          <w:sz w:val="24"/>
          <w:szCs w:val="24"/>
          <w:lang w:val="af-ZA"/>
          <w14:ligatures w14:val="none"/>
        </w:rPr>
        <w:t>72.3</w:t>
      </w:r>
      <w:r>
        <w:rPr>
          <w:rFonts w:ascii="Times New Roman" w:hAnsi="Times New Roman" w:cs="Times New Roman"/>
          <w:sz w:val="24"/>
          <w:szCs w:val="24"/>
          <w14:ligatures w14:val="none"/>
        </w:rPr>
        <w:t>%) were located in a major city or a location considered as MMM1 under the Modified Monash Model (MMM) classification system, a small increase from 71.9% in 2014.</w:t>
      </w:r>
    </w:p>
    <w:p w:rsidR="00115BC2" w:rsidRDefault="00115BC2" w:rsidP="00115BC2">
      <w:pPr>
        <w:widowControl w:val="0"/>
        <w:spacing w:before="120" w:after="0"/>
        <w:rPr>
          <w:rFonts w:ascii="Times New Roman" w:hAnsi="Times New Roman" w:cs="Times New Roman"/>
          <w:sz w:val="16"/>
          <w:szCs w:val="16"/>
          <w14:ligatures w14:val="none"/>
        </w:rPr>
      </w:pPr>
      <w:r>
        <w:rPr>
          <w:rFonts w:ascii="Times New Roman" w:hAnsi="Times New Roman" w:cs="Times New Roman"/>
          <w:sz w:val="16"/>
          <w:szCs w:val="16"/>
          <w14:ligatures w14:val="none"/>
        </w:rPr>
        <w:t>Note: See www.doctorconnect.gov.au for more information</w:t>
      </w:r>
    </w:p>
    <w:p w:rsidR="00115BC2" w:rsidRDefault="00115BC2" w:rsidP="00C87822">
      <w:pPr>
        <w:pStyle w:val="Heading2"/>
      </w:pPr>
      <w:r>
        <w:t xml:space="preserve">Tele-Health </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workforce survey asks nurses and midwives to report hours practiced via tele-health in nursing, midwifery, or both in the previous year. Responses have been combined to provide an average for the workforce. </w:t>
      </w:r>
    </w:p>
    <w:p w:rsidR="00115BC2" w:rsidRPr="00C87822" w:rsidRDefault="00115BC2" w:rsidP="00115BC2">
      <w:pPr>
        <w:widowControl w:val="0"/>
        <w:spacing w:before="120" w:after="0"/>
        <w:rPr>
          <w:rFonts w:ascii="Times New Roman" w:hAnsi="Times New Roman" w:cs="Times New Roman"/>
          <w14:ligatures w14:val="none"/>
        </w:rPr>
      </w:pPr>
      <w:r w:rsidRPr="00C87822">
        <w:rPr>
          <w:rFonts w:ascii="Times New Roman" w:hAnsi="Times New Roman" w:cs="Times New Roman"/>
          <w14:ligatures w14:val="none"/>
        </w:rPr>
        <w:t xml:space="preserve">Note: Tele-health is defined as the use of telecommunication techniques for the purpose of providing telemedicine and education, and health education over a distance. </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6.3</w:t>
      </w:r>
      <w:r>
        <w:rPr>
          <w:rFonts w:ascii="Times New Roman" w:hAnsi="Times New Roman" w:cs="Times New Roman"/>
          <w:sz w:val="24"/>
          <w:szCs w:val="24"/>
          <w14:ligatures w14:val="none"/>
        </w:rPr>
        <w:t>% (</w:t>
      </w:r>
      <w:r>
        <w:rPr>
          <w:rFonts w:ascii="Times New Roman" w:hAnsi="Times New Roman" w:cs="Times New Roman"/>
          <w:sz w:val="24"/>
          <w:szCs w:val="24"/>
          <w:lang w:val="af-ZA"/>
          <w14:ligatures w14:val="none"/>
        </w:rPr>
        <w:t>20,220</w:t>
      </w:r>
      <w:r>
        <w:rPr>
          <w:rFonts w:ascii="Times New Roman" w:hAnsi="Times New Roman" w:cs="Times New Roman"/>
          <w:sz w:val="24"/>
          <w:szCs w:val="24"/>
          <w14:ligatures w14:val="none"/>
        </w:rPr>
        <w:t xml:space="preserve">) of the workforce responded to the tele-health question. On average respondents practiced via tele-health </w:t>
      </w:r>
      <w:r>
        <w:rPr>
          <w:rFonts w:ascii="Times New Roman" w:hAnsi="Times New Roman" w:cs="Times New Roman"/>
          <w:sz w:val="24"/>
          <w:szCs w:val="24"/>
          <w:lang w:val="af-ZA"/>
          <w14:ligatures w14:val="none"/>
        </w:rPr>
        <w:t>12.1</w:t>
      </w:r>
      <w:r>
        <w:rPr>
          <w:rFonts w:ascii="Times New Roman" w:hAnsi="Times New Roman" w:cs="Times New Roman"/>
          <w:sz w:val="24"/>
          <w:szCs w:val="24"/>
          <w14:ligatures w14:val="none"/>
        </w:rPr>
        <w:t xml:space="preserve"> hours per week.</w:t>
      </w:r>
    </w:p>
    <w:p w:rsidR="00115BC2" w:rsidRDefault="00115BC2" w:rsidP="00115BC2">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Remoteness area breakdown for tele-health refers to the location of the nurse or midwife, not the location of the person receiving the service.</w:t>
      </w:r>
    </w:p>
    <w:p w:rsidR="00115BC2" w:rsidRPr="00C87822" w:rsidRDefault="00115BC2" w:rsidP="00115BC2">
      <w:pPr>
        <w:spacing w:before="120" w:after="0" w:line="286" w:lineRule="auto"/>
        <w:rPr>
          <w:rFonts w:ascii="Times New Roman" w:hAnsi="Times New Roman" w:cs="Times New Roman"/>
          <w14:ligatures w14:val="none"/>
        </w:rPr>
      </w:pPr>
      <w:r w:rsidRPr="00C87822">
        <w:rPr>
          <w:rFonts w:ascii="Times New Roman" w:hAnsi="Times New Roman" w:cs="Times New Roman"/>
          <w14:ligatures w14:val="none"/>
        </w:rPr>
        <w:t xml:space="preserve">Note: There are 5 factsheets in this series: 1 Nurses and Midwives, 2 Registered Nurses, 3 Midwives, 4 Enrolled Nurses, 5 Nurse Practitioners.  </w:t>
      </w:r>
    </w:p>
    <w:p w:rsidR="00115BC2" w:rsidRPr="00C87822" w:rsidRDefault="00115BC2" w:rsidP="00115BC2">
      <w:pPr>
        <w:spacing w:before="120" w:after="0"/>
        <w:rPr>
          <w:rFonts w:ascii="Times New Roman" w:hAnsi="Times New Roman" w:cs="Times New Roman"/>
          <w14:ligatures w14:val="none"/>
        </w:rPr>
      </w:pPr>
      <w:r w:rsidRPr="00C87822">
        <w:rPr>
          <w:rFonts w:ascii="Times New Roman" w:hAnsi="Times New Roman" w:cs="Times New Roman"/>
          <w14:ligatures w14:val="none"/>
        </w:rPr>
        <w:t xml:space="preserve">This factsheet is based on the total headcount, whereas the headcount in the individual fact sheets in this series are based on a job role or hours worked in the profession. This means, if a practitioner has a job role or worked hours in more than one profession, they will be counted in each profession’s factsheet, but only once in this factsheet. Hence, when the individual factsheets in this series are added together, the total will vary from this factsheet. </w:t>
      </w:r>
    </w:p>
    <w:p w:rsidR="00115BC2" w:rsidRDefault="00115BC2">
      <w:pPr>
        <w:spacing w:after="0" w:line="240" w:lineRule="auto"/>
        <w:rPr>
          <w:rFonts w:ascii="Times New Roman" w:hAnsi="Times New Roman" w:cs="Times New Roman"/>
          <w:b/>
          <w:bCs/>
          <w:iCs/>
          <w:color w:val="5A1834"/>
          <w:spacing w:val="5"/>
          <w:sz w:val="24"/>
          <w:szCs w:val="24"/>
          <w14:ligatures w14:val="none"/>
        </w:rPr>
      </w:pPr>
      <w:r>
        <w:rPr>
          <w:rFonts w:ascii="Times New Roman" w:hAnsi="Times New Roman" w:cs="Times New Roman"/>
          <w:b/>
          <w:bCs/>
          <w:iCs/>
          <w:color w:val="5A1834"/>
          <w:spacing w:val="5"/>
          <w:sz w:val="24"/>
          <w:szCs w:val="24"/>
          <w14:ligatures w14:val="none"/>
        </w:rPr>
        <w:br w:type="page"/>
      </w:r>
    </w:p>
    <w:p w:rsidR="00115BC2" w:rsidRDefault="00115BC2" w:rsidP="00C87822">
      <w:pPr>
        <w:pStyle w:val="Heading2"/>
      </w:pPr>
      <w:r>
        <w:lastRenderedPageBreak/>
        <w:t>Commonwealth</w:t>
      </w:r>
      <w:r>
        <w:rPr>
          <w:spacing w:val="-8"/>
        </w:rPr>
        <w:t xml:space="preserve"> </w:t>
      </w:r>
      <w:r>
        <w:t>of</w:t>
      </w:r>
      <w:r>
        <w:rPr>
          <w:spacing w:val="-7"/>
        </w:rPr>
        <w:t xml:space="preserve"> </w:t>
      </w:r>
      <w:r>
        <w:t>Australia</w:t>
      </w:r>
      <w:r>
        <w:rPr>
          <w:spacing w:val="-8"/>
        </w:rPr>
        <w:t xml:space="preserve"> </w:t>
      </w:r>
      <w:r>
        <w:t>2018</w:t>
      </w:r>
    </w:p>
    <w:p w:rsidR="00115BC2" w:rsidRDefault="00115BC2" w:rsidP="00115BC2">
      <w:pPr>
        <w:pStyle w:val="BodyText"/>
        <w:widowControl w:val="0"/>
        <w:ind w:right="137"/>
        <w:rPr>
          <w:rFonts w:ascii="Times New Roman" w:hAnsi="Times New Roman" w:cs="Times New Roman"/>
          <w:sz w:val="24"/>
          <w:szCs w:val="24"/>
          <w14:ligatures w14:val="none"/>
        </w:rPr>
      </w:pP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 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may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download, display,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print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 reproduce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whole 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 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unaltered form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your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own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personal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internal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within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but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only if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your 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 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 commercial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purpose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 retain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 and</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all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disclaimer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that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from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as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permitted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1968 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allowed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 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 other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 reserved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 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allowed 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whole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 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way (electronic</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otherwise)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without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first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being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given 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specific</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written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permission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from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Commonwealth</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Requests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inquiries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concerning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be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sent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Communication</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Branch,</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Department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Health,</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GPO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Box</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9848,</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via</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e-mail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w w:val="99"/>
          <w:sz w:val="24"/>
          <w:szCs w:val="24"/>
          <w14:ligatures w14:val="none"/>
        </w:rPr>
        <w:t xml:space="preserve"> </w:t>
      </w:r>
      <w:hyperlink r:id="rId5" w:history="1">
        <w:r>
          <w:rPr>
            <w:rStyle w:val="Hyperlink"/>
            <w:rFonts w:ascii="Times New Roman" w:hAnsi="Times New Roman" w:cs="Times New Roman"/>
            <w:sz w:val="24"/>
            <w:szCs w:val="24"/>
            <w14:ligatures w14:val="none"/>
          </w:rPr>
          <w:t>copyright@health.gov.au</w:t>
        </w:r>
        <w:r>
          <w:rPr>
            <w:rStyle w:val="Hyperlink"/>
            <w:rFonts w:ascii="Times New Roman" w:hAnsi="Times New Roman" w:cs="Times New Roman"/>
            <w:spacing w:val="3"/>
            <w:sz w:val="24"/>
            <w:szCs w:val="24"/>
            <w14:ligatures w14:val="none"/>
          </w:rPr>
          <w:t xml:space="preserve"> </w:t>
        </w:r>
      </w:hyperlink>
      <w:r>
        <w:rPr>
          <w:rFonts w:ascii="Times New Roman" w:hAnsi="Times New Roman" w:cs="Times New Roman"/>
          <w:b/>
          <w:bCs/>
          <w:sz w:val="24"/>
          <w:szCs w:val="24"/>
          <w14:ligatures w14:val="none"/>
        </w:rPr>
        <w:t>.</w:t>
      </w:r>
    </w:p>
    <w:p w:rsidR="00115BC2" w:rsidRDefault="00115BC2" w:rsidP="00115BC2">
      <w:pPr>
        <w:widowControl w:val="0"/>
        <w:spacing w:before="18" w:line="200" w:lineRule="exact"/>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 </w:t>
      </w:r>
    </w:p>
    <w:p w:rsidR="00115BC2" w:rsidRDefault="00115BC2" w:rsidP="00115BC2">
      <w:pPr>
        <w:pStyle w:val="BodyText"/>
        <w:widowControl w:val="0"/>
        <w:spacing w:after="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Enquiries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concerning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report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its 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should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directed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w w:val="99"/>
          <w:sz w:val="24"/>
          <w:szCs w:val="24"/>
          <w14:ligatures w14:val="none"/>
        </w:rPr>
        <w:t xml:space="preserve"> </w:t>
      </w:r>
      <w:r>
        <w:rPr>
          <w:rFonts w:ascii="Times New Roman" w:hAnsi="Times New Roman" w:cs="Times New Roman"/>
          <w:w w:val="99"/>
          <w:sz w:val="24"/>
          <w:szCs w:val="24"/>
          <w14:ligatures w14:val="none"/>
        </w:rPr>
        <w:br/>
      </w:r>
    </w:p>
    <w:p w:rsidR="00115BC2" w:rsidRDefault="00115BC2" w:rsidP="00115BC2">
      <w:pPr>
        <w:pStyle w:val="BodyText"/>
        <w:widowControl w:val="0"/>
        <w:spacing w:after="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Department</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Health</w:t>
      </w:r>
    </w:p>
    <w:p w:rsidR="00115BC2" w:rsidRDefault="00115BC2" w:rsidP="00115BC2">
      <w:pPr>
        <w:pStyle w:val="BodyText"/>
        <w:widowControl w:val="0"/>
        <w:spacing w:after="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GPO</w:t>
      </w:r>
      <w:r>
        <w:rPr>
          <w:rFonts w:ascii="Times New Roman" w:hAnsi="Times New Roman" w:cs="Times New Roman"/>
          <w:spacing w:val="-3"/>
          <w:sz w:val="24"/>
          <w:szCs w:val="24"/>
          <w14:ligatures w14:val="none"/>
        </w:rPr>
        <w:t xml:space="preserve"> </w:t>
      </w:r>
      <w:r>
        <w:rPr>
          <w:rFonts w:ascii="Times New Roman" w:hAnsi="Times New Roman" w:cs="Times New Roman"/>
          <w:sz w:val="24"/>
          <w:szCs w:val="24"/>
          <w14:ligatures w14:val="none"/>
        </w:rPr>
        <w:t>Box</w:t>
      </w:r>
      <w:r>
        <w:rPr>
          <w:rFonts w:ascii="Times New Roman" w:hAnsi="Times New Roman" w:cs="Times New Roman"/>
          <w:spacing w:val="-3"/>
          <w:sz w:val="24"/>
          <w:szCs w:val="24"/>
          <w14:ligatures w14:val="none"/>
        </w:rPr>
        <w:t xml:space="preserve"> </w:t>
      </w:r>
      <w:r>
        <w:rPr>
          <w:rFonts w:ascii="Times New Roman" w:hAnsi="Times New Roman" w:cs="Times New Roman"/>
          <w:sz w:val="24"/>
          <w:szCs w:val="24"/>
          <w14:ligatures w14:val="none"/>
        </w:rPr>
        <w:t>9848</w:t>
      </w:r>
    </w:p>
    <w:p w:rsidR="00115BC2" w:rsidRDefault="00115BC2" w:rsidP="00115BC2">
      <w:pPr>
        <w:pStyle w:val="BodyText"/>
        <w:widowControl w:val="0"/>
        <w:spacing w:after="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p>
    <w:p w:rsidR="00115BC2" w:rsidRDefault="00E02C8B" w:rsidP="00115BC2">
      <w:pPr>
        <w:pStyle w:val="BodyText"/>
        <w:widowControl w:val="0"/>
        <w:spacing w:after="0"/>
        <w:ind w:right="111"/>
        <w:rPr>
          <w:rFonts w:ascii="Times New Roman" w:hAnsi="Times New Roman" w:cs="Times New Roman"/>
          <w:sz w:val="24"/>
          <w:szCs w:val="24"/>
          <w14:ligatures w14:val="none"/>
        </w:rPr>
      </w:pPr>
      <w:hyperlink r:id="rId6" w:history="1">
        <w:r w:rsidR="00115BC2">
          <w:rPr>
            <w:rStyle w:val="Hyperlink"/>
            <w:rFonts w:ascii="Times New Roman" w:hAnsi="Times New Roman" w:cs="Times New Roman"/>
            <w:sz w:val="24"/>
            <w:szCs w:val="24"/>
            <w14:ligatures w14:val="none"/>
          </w:rPr>
          <w:t>healthworkforcedata@health.gov.au</w:t>
        </w:r>
      </w:hyperlink>
    </w:p>
    <w:p w:rsidR="00115BC2" w:rsidRDefault="00115BC2" w:rsidP="00115BC2">
      <w:pPr>
        <w:widowControl w:val="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 </w:t>
      </w:r>
    </w:p>
    <w:p w:rsidR="00115BC2" w:rsidRDefault="00115BC2" w:rsidP="00C87822">
      <w:pPr>
        <w:pStyle w:val="Heading2"/>
      </w:pPr>
      <w:r>
        <w:t>References</w:t>
      </w:r>
    </w:p>
    <w:p w:rsidR="00115BC2" w:rsidRDefault="00115BC2" w:rsidP="00115BC2">
      <w:pPr>
        <w:widowControl w:val="0"/>
        <w:ind w:left="567" w:right="111" w:hanging="567"/>
        <w:rPr>
          <w:rFonts w:ascii="Times New Roman" w:hAnsi="Times New Roman" w:cs="Times New Roman"/>
          <w:sz w:val="24"/>
          <w:szCs w:val="24"/>
          <w14:ligatures w14:val="none"/>
        </w:rPr>
      </w:pPr>
      <w:r>
        <w:rPr>
          <w:rFonts w:ascii="Times New Roman" w:hAnsi="Times New Roman" w:cs="Times New Roman"/>
          <w:sz w:val="24"/>
          <w:szCs w:val="24"/>
        </w:rPr>
        <w:t>1)</w:t>
      </w:r>
      <w:r>
        <w:t> </w:t>
      </w:r>
      <w:r>
        <w:rPr>
          <w:rFonts w:ascii="Times New Roman" w:hAnsi="Times New Roman" w:cs="Times New Roman"/>
          <w:sz w:val="24"/>
          <w:szCs w:val="24"/>
          <w14:ligatures w14:val="none"/>
        </w:rPr>
        <w:t>Registered and employed workforce data, National Health Workforce Dataset 2014—2017 (http://hwd.health.gov.au</w:t>
      </w:r>
      <w:proofErr w:type="gramStart"/>
      <w:r>
        <w:rPr>
          <w:rFonts w:ascii="Times New Roman" w:hAnsi="Times New Roman" w:cs="Times New Roman"/>
          <w:sz w:val="24"/>
          <w:szCs w:val="24"/>
          <w14:ligatures w14:val="none"/>
        </w:rPr>
        <w:t>)</w:t>
      </w:r>
      <w:proofErr w:type="gramEnd"/>
      <w:r>
        <w:rPr>
          <w:rFonts w:ascii="Times New Roman" w:hAnsi="Times New Roman" w:cs="Times New Roman"/>
          <w:sz w:val="24"/>
          <w:szCs w:val="24"/>
          <w14:ligatures w14:val="none"/>
        </w:rPr>
        <w:br/>
      </w:r>
      <w:r w:rsidRPr="00C87822">
        <w:rPr>
          <w:rFonts w:ascii="Times New Roman" w:hAnsi="Times New Roman" w:cs="Times New Roman"/>
          <w14:ligatures w14:val="none"/>
        </w:rPr>
        <w:t xml:space="preserve">Note: These numbers have changed due to an error in the NHWDS for 2013-2016 and won't match the previous </w:t>
      </w:r>
      <w:proofErr w:type="spellStart"/>
      <w:r w:rsidRPr="00C87822">
        <w:rPr>
          <w:rFonts w:ascii="Times New Roman" w:hAnsi="Times New Roman" w:cs="Times New Roman"/>
          <w14:ligatures w14:val="none"/>
        </w:rPr>
        <w:t>years</w:t>
      </w:r>
      <w:proofErr w:type="spellEnd"/>
      <w:r w:rsidRPr="00C87822">
        <w:rPr>
          <w:rFonts w:ascii="Times New Roman" w:hAnsi="Times New Roman" w:cs="Times New Roman"/>
          <w14:ligatures w14:val="none"/>
        </w:rPr>
        <w:t xml:space="preserve"> figures in the 2016 factsheets.</w:t>
      </w:r>
    </w:p>
    <w:p w:rsidR="00003743" w:rsidRDefault="00115BC2" w:rsidP="00C87822">
      <w:pPr>
        <w:widowControl w:val="0"/>
        <w:ind w:left="567" w:hanging="567"/>
        <w:rPr>
          <w:rFonts w:ascii="Times New Roman" w:hAnsi="Times New Roman" w:cs="Times New Roman"/>
          <w:sz w:val="24"/>
          <w:szCs w:val="24"/>
          <w14:ligatures w14:val="none"/>
        </w:rPr>
      </w:pPr>
      <w:r>
        <w:rPr>
          <w:rFonts w:ascii="Times New Roman" w:hAnsi="Times New Roman" w:cs="Times New Roman"/>
          <w:sz w:val="24"/>
          <w:szCs w:val="24"/>
        </w:rPr>
        <w:t>2)</w:t>
      </w:r>
      <w:r>
        <w:t> </w:t>
      </w:r>
      <w:r w:rsidR="00E02C8B">
        <w:rPr>
          <w:rFonts w:ascii="Times New Roman" w:hAnsi="Times New Roman" w:cs="Times New Roman"/>
          <w:sz w:val="24"/>
          <w:szCs w:val="24"/>
          <w14:ligatures w14:val="none"/>
        </w:rPr>
        <w:t xml:space="preserve">ABS - 3218.0 </w:t>
      </w:r>
      <w:bookmarkStart w:id="0" w:name="_GoBack"/>
      <w:bookmarkEnd w:id="0"/>
      <w:r>
        <w:rPr>
          <w:rFonts w:ascii="Times New Roman" w:hAnsi="Times New Roman" w:cs="Times New Roman"/>
          <w:sz w:val="24"/>
          <w:szCs w:val="24"/>
          <w14:ligatures w14:val="none"/>
        </w:rPr>
        <w:t>Regional Population Growth, Australia (http://www.abs.gov.au/ausstats/abs@.nsf/mf/3218.0), released at 11:30 AM (CANBERRA TIME) 31/08/2018</w:t>
      </w:r>
    </w:p>
    <w:p w:rsidR="00EF4318" w:rsidRDefault="00EF4318" w:rsidP="00C87822">
      <w:pPr>
        <w:widowControl w:val="0"/>
        <w:ind w:left="567" w:hanging="567"/>
        <w:rPr>
          <w:rFonts w:ascii="Times New Roman" w:hAnsi="Times New Roman" w:cs="Times New Roman"/>
          <w:sz w:val="24"/>
          <w:szCs w:val="24"/>
          <w14:ligatures w14:val="none"/>
        </w:rPr>
      </w:pPr>
    </w:p>
    <w:p w:rsidR="00EF4318" w:rsidRDefault="00EF4318" w:rsidP="00EF4318">
      <w:pPr>
        <w:widowControl w:val="0"/>
        <w:rPr>
          <w:rFonts w:ascii="Times New Roman" w:hAnsi="Times New Roman" w:cs="Times New Roman"/>
          <w14:ligatures w14:val="none"/>
        </w:rPr>
      </w:pPr>
      <w:r>
        <w:rPr>
          <w:rFonts w:ascii="Times New Roman" w:hAnsi="Times New Roman" w:cs="Times New Roman"/>
          <w14:ligatures w14:val="none"/>
        </w:rPr>
        <w:t xml:space="preserve">Contact: </w:t>
      </w:r>
      <w:hyperlink r:id="rId7" w:history="1">
        <w:r>
          <w:rPr>
            <w:rStyle w:val="Hyperlink"/>
            <w:rFonts w:ascii="Times New Roman" w:hAnsi="Times New Roman" w:cs="Times New Roman"/>
            <w14:ligatures w14:val="none"/>
          </w:rPr>
          <w:t>healthworkforcedata@health.gov.au</w:t>
        </w:r>
      </w:hyperlink>
    </w:p>
    <w:p w:rsidR="00EF4318" w:rsidRPr="00C87822" w:rsidRDefault="00EF4318" w:rsidP="00EF4318">
      <w:pPr>
        <w:widowControl w:val="0"/>
        <w:rPr>
          <w14:ligatures w14:val="none"/>
        </w:rPr>
      </w:pPr>
      <w:r>
        <w:rPr>
          <w:rFonts w:ascii="Times New Roman" w:hAnsi="Times New Roman" w:cs="Times New Roman"/>
          <w14:ligatures w14:val="none"/>
        </w:rPr>
        <w:t xml:space="preserve">NHWDS Data Tool and Resources: </w:t>
      </w:r>
      <w:r>
        <w:t>http://hwd.health.gov.au</w:t>
      </w:r>
    </w:p>
    <w:sectPr w:rsidR="00EF4318" w:rsidRPr="00C87822">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BC2"/>
    <w:rsid w:val="00003743"/>
    <w:rsid w:val="00067456"/>
    <w:rsid w:val="00115BC2"/>
    <w:rsid w:val="001B3443"/>
    <w:rsid w:val="00244F62"/>
    <w:rsid w:val="002F3AE3"/>
    <w:rsid w:val="0030786C"/>
    <w:rsid w:val="003D17F9"/>
    <w:rsid w:val="004867E2"/>
    <w:rsid w:val="004D6D62"/>
    <w:rsid w:val="008264EB"/>
    <w:rsid w:val="00A4512D"/>
    <w:rsid w:val="00A705AF"/>
    <w:rsid w:val="00B42851"/>
    <w:rsid w:val="00C87822"/>
    <w:rsid w:val="00CB5B1A"/>
    <w:rsid w:val="00E02C8B"/>
    <w:rsid w:val="00E87F52"/>
    <w:rsid w:val="00EF431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15BC2"/>
    <w:pPr>
      <w:spacing w:after="120" w:line="285" w:lineRule="auto"/>
    </w:pPr>
    <w:rPr>
      <w:rFonts w:ascii="Calibri" w:hAnsi="Calibri" w:cs="Calibri"/>
      <w:color w:val="000000"/>
      <w:kern w:val="28"/>
      <w14:ligatures w14:val="standard"/>
      <w14:cntxtAlts/>
    </w:rPr>
  </w:style>
  <w:style w:type="paragraph" w:styleId="Heading1">
    <w:name w:val="heading 1"/>
    <w:basedOn w:val="Normal"/>
    <w:next w:val="Normal"/>
    <w:qFormat/>
    <w:rsid w:val="00A705AF"/>
    <w:pPr>
      <w:keepNext/>
      <w:spacing w:before="240" w:after="60" w:line="240" w:lineRule="auto"/>
      <w:outlineLvl w:val="0"/>
    </w:pPr>
    <w:rPr>
      <w:rFonts w:ascii="Arial" w:hAnsi="Arial" w:cs="Arial"/>
      <w:b/>
      <w:bCs/>
      <w:color w:val="auto"/>
      <w:sz w:val="28"/>
      <w:szCs w:val="32"/>
      <w:lang w:eastAsia="en-US"/>
      <w14:ligatures w14:val="none"/>
      <w14:cntxtAlts w14:val="0"/>
    </w:rPr>
  </w:style>
  <w:style w:type="paragraph" w:styleId="Heading2">
    <w:name w:val="heading 2"/>
    <w:basedOn w:val="Normal"/>
    <w:next w:val="Normal"/>
    <w:qFormat/>
    <w:rsid w:val="00C87822"/>
    <w:pPr>
      <w:widowControl w:val="0"/>
      <w:spacing w:before="240" w:after="0"/>
      <w:outlineLvl w:val="1"/>
    </w:pPr>
    <w:rPr>
      <w:rFonts w:ascii="Times New Roman" w:hAnsi="Times New Roman" w:cs="Times New Roman"/>
      <w:b/>
      <w:bCs/>
      <w:iCs/>
      <w:color w:val="5A1834"/>
      <w:spacing w:val="5"/>
      <w:sz w:val="24"/>
      <w:szCs w:val="24"/>
      <w14:ligatures w14:val="none"/>
    </w:rPr>
  </w:style>
  <w:style w:type="paragraph" w:styleId="Heading3">
    <w:name w:val="heading 3"/>
    <w:basedOn w:val="Normal"/>
    <w:next w:val="Normal"/>
    <w:qFormat/>
    <w:rsid w:val="00A705AF"/>
    <w:pPr>
      <w:keepNext/>
      <w:spacing w:before="240" w:after="60" w:line="240" w:lineRule="auto"/>
      <w:outlineLvl w:val="2"/>
    </w:pPr>
    <w:rPr>
      <w:rFonts w:ascii="Arial" w:hAnsi="Arial" w:cs="Arial"/>
      <w:bCs/>
      <w:color w:val="auto"/>
      <w:kern w:val="0"/>
      <w:sz w:val="24"/>
      <w:szCs w:val="26"/>
      <w:lang w:eastAsia="en-US"/>
      <w14:ligatures w14:val="none"/>
      <w14:cntxtAlts w14:val="0"/>
    </w:rPr>
  </w:style>
  <w:style w:type="paragraph" w:styleId="Heading4">
    <w:name w:val="heading 4"/>
    <w:basedOn w:val="Normal"/>
    <w:next w:val="Normal"/>
    <w:qFormat/>
    <w:rsid w:val="00A705AF"/>
    <w:pPr>
      <w:keepNext/>
      <w:spacing w:before="240" w:after="60" w:line="240" w:lineRule="auto"/>
      <w:outlineLvl w:val="3"/>
    </w:pPr>
    <w:rPr>
      <w:rFonts w:ascii="Arial" w:hAnsi="Arial" w:cs="Times New Roman"/>
      <w:bCs/>
      <w:color w:val="auto"/>
      <w:kern w:val="0"/>
      <w:sz w:val="28"/>
      <w:szCs w:val="28"/>
      <w:lang w:eastAsia="en-US"/>
      <w14:ligatures w14:val="none"/>
      <w14:cntxtAlts w14:val="0"/>
    </w:rPr>
  </w:style>
  <w:style w:type="paragraph" w:styleId="Heading5">
    <w:name w:val="heading 5"/>
    <w:basedOn w:val="Normal"/>
    <w:next w:val="Normal"/>
    <w:qFormat/>
    <w:rsid w:val="00A705AF"/>
    <w:pPr>
      <w:keepNext/>
      <w:spacing w:before="240" w:after="60" w:line="240" w:lineRule="auto"/>
      <w:outlineLvl w:val="4"/>
    </w:pPr>
    <w:rPr>
      <w:rFonts w:ascii="Times New Roman" w:hAnsi="Times New Roman" w:cs="Times New Roman"/>
      <w:b/>
      <w:bCs/>
      <w:iCs/>
      <w:color w:val="auto"/>
      <w:kern w:val="0"/>
      <w:sz w:val="24"/>
      <w:szCs w:val="26"/>
      <w:lang w:eastAsia="en-US"/>
      <w14:ligatures w14:val="none"/>
      <w14:cntxtAlts w14:val="0"/>
    </w:rPr>
  </w:style>
  <w:style w:type="paragraph" w:styleId="Heading6">
    <w:name w:val="heading 6"/>
    <w:basedOn w:val="Normal"/>
    <w:next w:val="Normal"/>
    <w:qFormat/>
    <w:rsid w:val="00A705AF"/>
    <w:pPr>
      <w:keepNext/>
      <w:spacing w:before="240" w:after="60" w:line="240" w:lineRule="auto"/>
      <w:outlineLvl w:val="5"/>
    </w:pPr>
    <w:rPr>
      <w:rFonts w:ascii="Times New Roman" w:hAnsi="Times New Roman" w:cs="Times New Roman"/>
      <w:b/>
      <w:bCs/>
      <w:i/>
      <w:color w:val="auto"/>
      <w:kern w:val="0"/>
      <w:sz w:val="24"/>
      <w:szCs w:val="22"/>
      <w:lang w:eastAsia="en-US"/>
      <w14:ligatures w14:val="none"/>
      <w14:cntxtAlts w14: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spacing w:after="0" w:line="240" w:lineRule="auto"/>
    </w:pPr>
    <w:rPr>
      <w:rFonts w:asciiTheme="majorHAnsi" w:eastAsiaTheme="majorEastAsia" w:hAnsiTheme="majorHAnsi" w:cstheme="majorBidi"/>
      <w:iCs/>
      <w:color w:val="auto"/>
      <w:spacing w:val="15"/>
      <w:kern w:val="0"/>
      <w:sz w:val="24"/>
      <w:szCs w:val="24"/>
      <w:lang w:eastAsia="en-US"/>
      <w14:ligatures w14:val="none"/>
      <w14:cntxtAlts w14:val="0"/>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line="240" w:lineRule="auto"/>
      <w:contextualSpacing/>
      <w:jc w:val="center"/>
    </w:pPr>
    <w:rPr>
      <w:rFonts w:ascii="Arial" w:eastAsiaTheme="majorEastAsia" w:hAnsi="Arial" w:cstheme="majorBidi"/>
      <w:b/>
      <w:color w:val="auto"/>
      <w:sz w:val="32"/>
      <w:szCs w:val="52"/>
      <w:lang w:eastAsia="en-US"/>
      <w14:ligatures w14:val="none"/>
      <w14:cntxtAlts w14:val="0"/>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pPr>
      <w:spacing w:after="0" w:line="240" w:lineRule="auto"/>
    </w:pPr>
    <w:rPr>
      <w:rFonts w:ascii="Times New Roman" w:hAnsi="Times New Roman" w:cs="Times New Roman"/>
      <w:i/>
      <w:iCs/>
      <w:color w:val="000000" w:themeColor="text1"/>
      <w:kern w:val="0"/>
      <w:sz w:val="24"/>
      <w:szCs w:val="24"/>
      <w:lang w:eastAsia="en-US"/>
      <w14:ligatures w14:val="none"/>
      <w14:cntxtAlts w14:val="0"/>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line="240" w:lineRule="auto"/>
      <w:ind w:left="936" w:right="936"/>
    </w:pPr>
    <w:rPr>
      <w:rFonts w:ascii="Times New Roman" w:hAnsi="Times New Roman" w:cs="Times New Roman"/>
      <w:b/>
      <w:bCs/>
      <w:i/>
      <w:iCs/>
      <w:color w:val="4F81BD" w:themeColor="accent1"/>
      <w:kern w:val="0"/>
      <w:sz w:val="24"/>
      <w:szCs w:val="24"/>
      <w:lang w:eastAsia="en-US"/>
      <w14:ligatures w14:val="none"/>
      <w14:cntxtAlts w14:val="0"/>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spacing w:after="0" w:line="240" w:lineRule="auto"/>
      <w:ind w:left="720"/>
      <w:contextualSpacing/>
    </w:pPr>
    <w:rPr>
      <w:rFonts w:ascii="Times New Roman" w:hAnsi="Times New Roman" w:cs="Times New Roman"/>
      <w:color w:val="auto"/>
      <w:kern w:val="0"/>
      <w:sz w:val="24"/>
      <w:szCs w:val="24"/>
      <w:lang w:eastAsia="en-US"/>
      <w14:ligatures w14:val="none"/>
      <w14:cntxtAlts w14:val="0"/>
    </w:rPr>
  </w:style>
  <w:style w:type="paragraph" w:customStyle="1" w:styleId="AHBlueItalic">
    <w:name w:val="AH BlueItalic"/>
    <w:basedOn w:val="Normal"/>
    <w:link w:val="AHBlueItalicChar"/>
    <w:qFormat/>
    <w:rsid w:val="00244F62"/>
    <w:pPr>
      <w:spacing w:before="120" w:after="0" w:line="240" w:lineRule="auto"/>
      <w:jc w:val="both"/>
    </w:pPr>
    <w:rPr>
      <w:rFonts w:ascii="Arial" w:hAnsi="Arial" w:cs="Arial"/>
      <w:b/>
      <w:i/>
      <w:color w:val="31849B" w:themeColor="accent5" w:themeShade="BF"/>
      <w:sz w:val="24"/>
      <w:szCs w:val="24"/>
      <w:lang w:eastAsia="en-US"/>
      <w14:ligatures w14:val="none"/>
      <w14:cntxtAlts w14:val="0"/>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paragraph" w:customStyle="1" w:styleId="Default">
    <w:name w:val="Default"/>
    <w:rsid w:val="00115BC2"/>
    <w:pPr>
      <w:spacing w:line="285" w:lineRule="auto"/>
    </w:pPr>
    <w:rPr>
      <w:color w:val="000000"/>
      <w:kern w:val="28"/>
      <w:sz w:val="24"/>
      <w:szCs w:val="24"/>
      <w14:ligatures w14:val="standard"/>
      <w14:cntxtAlts/>
    </w:rPr>
  </w:style>
  <w:style w:type="character" w:styleId="Hyperlink">
    <w:name w:val="Hyperlink"/>
    <w:basedOn w:val="DefaultParagraphFont"/>
    <w:uiPriority w:val="99"/>
    <w:unhideWhenUsed/>
    <w:rsid w:val="00115BC2"/>
    <w:rPr>
      <w:color w:val="0000FF"/>
      <w:u w:val="single"/>
    </w:rPr>
  </w:style>
  <w:style w:type="paragraph" w:styleId="BodyText">
    <w:name w:val="Body Text"/>
    <w:link w:val="BodyTextChar"/>
    <w:uiPriority w:val="99"/>
    <w:unhideWhenUsed/>
    <w:rsid w:val="00115BC2"/>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115BC2"/>
    <w:rPr>
      <w:rFonts w:ascii="Calibri" w:hAnsi="Calibri" w:cs="Calibri"/>
      <w:color w:val="000000"/>
      <w:kern w:val="28"/>
      <w14:ligatures w14:val="standard"/>
      <w14:cntxtAlt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15BC2"/>
    <w:pPr>
      <w:spacing w:after="120" w:line="285" w:lineRule="auto"/>
    </w:pPr>
    <w:rPr>
      <w:rFonts w:ascii="Calibri" w:hAnsi="Calibri" w:cs="Calibri"/>
      <w:color w:val="000000"/>
      <w:kern w:val="28"/>
      <w14:ligatures w14:val="standard"/>
      <w14:cntxtAlts/>
    </w:rPr>
  </w:style>
  <w:style w:type="paragraph" w:styleId="Heading1">
    <w:name w:val="heading 1"/>
    <w:basedOn w:val="Normal"/>
    <w:next w:val="Normal"/>
    <w:qFormat/>
    <w:rsid w:val="00A705AF"/>
    <w:pPr>
      <w:keepNext/>
      <w:spacing w:before="240" w:after="60" w:line="240" w:lineRule="auto"/>
      <w:outlineLvl w:val="0"/>
    </w:pPr>
    <w:rPr>
      <w:rFonts w:ascii="Arial" w:hAnsi="Arial" w:cs="Arial"/>
      <w:b/>
      <w:bCs/>
      <w:color w:val="auto"/>
      <w:sz w:val="28"/>
      <w:szCs w:val="32"/>
      <w:lang w:eastAsia="en-US"/>
      <w14:ligatures w14:val="none"/>
      <w14:cntxtAlts w14:val="0"/>
    </w:rPr>
  </w:style>
  <w:style w:type="paragraph" w:styleId="Heading2">
    <w:name w:val="heading 2"/>
    <w:basedOn w:val="Normal"/>
    <w:next w:val="Normal"/>
    <w:qFormat/>
    <w:rsid w:val="00C87822"/>
    <w:pPr>
      <w:widowControl w:val="0"/>
      <w:spacing w:before="240" w:after="0"/>
      <w:outlineLvl w:val="1"/>
    </w:pPr>
    <w:rPr>
      <w:rFonts w:ascii="Times New Roman" w:hAnsi="Times New Roman" w:cs="Times New Roman"/>
      <w:b/>
      <w:bCs/>
      <w:iCs/>
      <w:color w:val="5A1834"/>
      <w:spacing w:val="5"/>
      <w:sz w:val="24"/>
      <w:szCs w:val="24"/>
      <w14:ligatures w14:val="none"/>
    </w:rPr>
  </w:style>
  <w:style w:type="paragraph" w:styleId="Heading3">
    <w:name w:val="heading 3"/>
    <w:basedOn w:val="Normal"/>
    <w:next w:val="Normal"/>
    <w:qFormat/>
    <w:rsid w:val="00A705AF"/>
    <w:pPr>
      <w:keepNext/>
      <w:spacing w:before="240" w:after="60" w:line="240" w:lineRule="auto"/>
      <w:outlineLvl w:val="2"/>
    </w:pPr>
    <w:rPr>
      <w:rFonts w:ascii="Arial" w:hAnsi="Arial" w:cs="Arial"/>
      <w:bCs/>
      <w:color w:val="auto"/>
      <w:kern w:val="0"/>
      <w:sz w:val="24"/>
      <w:szCs w:val="26"/>
      <w:lang w:eastAsia="en-US"/>
      <w14:ligatures w14:val="none"/>
      <w14:cntxtAlts w14:val="0"/>
    </w:rPr>
  </w:style>
  <w:style w:type="paragraph" w:styleId="Heading4">
    <w:name w:val="heading 4"/>
    <w:basedOn w:val="Normal"/>
    <w:next w:val="Normal"/>
    <w:qFormat/>
    <w:rsid w:val="00A705AF"/>
    <w:pPr>
      <w:keepNext/>
      <w:spacing w:before="240" w:after="60" w:line="240" w:lineRule="auto"/>
      <w:outlineLvl w:val="3"/>
    </w:pPr>
    <w:rPr>
      <w:rFonts w:ascii="Arial" w:hAnsi="Arial" w:cs="Times New Roman"/>
      <w:bCs/>
      <w:color w:val="auto"/>
      <w:kern w:val="0"/>
      <w:sz w:val="28"/>
      <w:szCs w:val="28"/>
      <w:lang w:eastAsia="en-US"/>
      <w14:ligatures w14:val="none"/>
      <w14:cntxtAlts w14:val="0"/>
    </w:rPr>
  </w:style>
  <w:style w:type="paragraph" w:styleId="Heading5">
    <w:name w:val="heading 5"/>
    <w:basedOn w:val="Normal"/>
    <w:next w:val="Normal"/>
    <w:qFormat/>
    <w:rsid w:val="00A705AF"/>
    <w:pPr>
      <w:keepNext/>
      <w:spacing w:before="240" w:after="60" w:line="240" w:lineRule="auto"/>
      <w:outlineLvl w:val="4"/>
    </w:pPr>
    <w:rPr>
      <w:rFonts w:ascii="Times New Roman" w:hAnsi="Times New Roman" w:cs="Times New Roman"/>
      <w:b/>
      <w:bCs/>
      <w:iCs/>
      <w:color w:val="auto"/>
      <w:kern w:val="0"/>
      <w:sz w:val="24"/>
      <w:szCs w:val="26"/>
      <w:lang w:eastAsia="en-US"/>
      <w14:ligatures w14:val="none"/>
      <w14:cntxtAlts w14:val="0"/>
    </w:rPr>
  </w:style>
  <w:style w:type="paragraph" w:styleId="Heading6">
    <w:name w:val="heading 6"/>
    <w:basedOn w:val="Normal"/>
    <w:next w:val="Normal"/>
    <w:qFormat/>
    <w:rsid w:val="00A705AF"/>
    <w:pPr>
      <w:keepNext/>
      <w:spacing w:before="240" w:after="60" w:line="240" w:lineRule="auto"/>
      <w:outlineLvl w:val="5"/>
    </w:pPr>
    <w:rPr>
      <w:rFonts w:ascii="Times New Roman" w:hAnsi="Times New Roman" w:cs="Times New Roman"/>
      <w:b/>
      <w:bCs/>
      <w:i/>
      <w:color w:val="auto"/>
      <w:kern w:val="0"/>
      <w:sz w:val="24"/>
      <w:szCs w:val="22"/>
      <w:lang w:eastAsia="en-US"/>
      <w14:ligatures w14:val="none"/>
      <w14:cntxtAlts w14: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spacing w:after="0" w:line="240" w:lineRule="auto"/>
    </w:pPr>
    <w:rPr>
      <w:rFonts w:asciiTheme="majorHAnsi" w:eastAsiaTheme="majorEastAsia" w:hAnsiTheme="majorHAnsi" w:cstheme="majorBidi"/>
      <w:iCs/>
      <w:color w:val="auto"/>
      <w:spacing w:val="15"/>
      <w:kern w:val="0"/>
      <w:sz w:val="24"/>
      <w:szCs w:val="24"/>
      <w:lang w:eastAsia="en-US"/>
      <w14:ligatures w14:val="none"/>
      <w14:cntxtAlts w14:val="0"/>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line="240" w:lineRule="auto"/>
      <w:contextualSpacing/>
      <w:jc w:val="center"/>
    </w:pPr>
    <w:rPr>
      <w:rFonts w:ascii="Arial" w:eastAsiaTheme="majorEastAsia" w:hAnsi="Arial" w:cstheme="majorBidi"/>
      <w:b/>
      <w:color w:val="auto"/>
      <w:sz w:val="32"/>
      <w:szCs w:val="52"/>
      <w:lang w:eastAsia="en-US"/>
      <w14:ligatures w14:val="none"/>
      <w14:cntxtAlts w14:val="0"/>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pPr>
      <w:spacing w:after="0" w:line="240" w:lineRule="auto"/>
    </w:pPr>
    <w:rPr>
      <w:rFonts w:ascii="Times New Roman" w:hAnsi="Times New Roman" w:cs="Times New Roman"/>
      <w:i/>
      <w:iCs/>
      <w:color w:val="000000" w:themeColor="text1"/>
      <w:kern w:val="0"/>
      <w:sz w:val="24"/>
      <w:szCs w:val="24"/>
      <w:lang w:eastAsia="en-US"/>
      <w14:ligatures w14:val="none"/>
      <w14:cntxtAlts w14:val="0"/>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line="240" w:lineRule="auto"/>
      <w:ind w:left="936" w:right="936"/>
    </w:pPr>
    <w:rPr>
      <w:rFonts w:ascii="Times New Roman" w:hAnsi="Times New Roman" w:cs="Times New Roman"/>
      <w:b/>
      <w:bCs/>
      <w:i/>
      <w:iCs/>
      <w:color w:val="4F81BD" w:themeColor="accent1"/>
      <w:kern w:val="0"/>
      <w:sz w:val="24"/>
      <w:szCs w:val="24"/>
      <w:lang w:eastAsia="en-US"/>
      <w14:ligatures w14:val="none"/>
      <w14:cntxtAlts w14:val="0"/>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spacing w:after="0" w:line="240" w:lineRule="auto"/>
      <w:ind w:left="720"/>
      <w:contextualSpacing/>
    </w:pPr>
    <w:rPr>
      <w:rFonts w:ascii="Times New Roman" w:hAnsi="Times New Roman" w:cs="Times New Roman"/>
      <w:color w:val="auto"/>
      <w:kern w:val="0"/>
      <w:sz w:val="24"/>
      <w:szCs w:val="24"/>
      <w:lang w:eastAsia="en-US"/>
      <w14:ligatures w14:val="none"/>
      <w14:cntxtAlts w14:val="0"/>
    </w:rPr>
  </w:style>
  <w:style w:type="paragraph" w:customStyle="1" w:styleId="AHBlueItalic">
    <w:name w:val="AH BlueItalic"/>
    <w:basedOn w:val="Normal"/>
    <w:link w:val="AHBlueItalicChar"/>
    <w:qFormat/>
    <w:rsid w:val="00244F62"/>
    <w:pPr>
      <w:spacing w:before="120" w:after="0" w:line="240" w:lineRule="auto"/>
      <w:jc w:val="both"/>
    </w:pPr>
    <w:rPr>
      <w:rFonts w:ascii="Arial" w:hAnsi="Arial" w:cs="Arial"/>
      <w:b/>
      <w:i/>
      <w:color w:val="31849B" w:themeColor="accent5" w:themeShade="BF"/>
      <w:sz w:val="24"/>
      <w:szCs w:val="24"/>
      <w:lang w:eastAsia="en-US"/>
      <w14:ligatures w14:val="none"/>
      <w14:cntxtAlts w14:val="0"/>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paragraph" w:customStyle="1" w:styleId="Default">
    <w:name w:val="Default"/>
    <w:rsid w:val="00115BC2"/>
    <w:pPr>
      <w:spacing w:line="285" w:lineRule="auto"/>
    </w:pPr>
    <w:rPr>
      <w:color w:val="000000"/>
      <w:kern w:val="28"/>
      <w:sz w:val="24"/>
      <w:szCs w:val="24"/>
      <w14:ligatures w14:val="standard"/>
      <w14:cntxtAlts/>
    </w:rPr>
  </w:style>
  <w:style w:type="character" w:styleId="Hyperlink">
    <w:name w:val="Hyperlink"/>
    <w:basedOn w:val="DefaultParagraphFont"/>
    <w:uiPriority w:val="99"/>
    <w:unhideWhenUsed/>
    <w:rsid w:val="00115BC2"/>
    <w:rPr>
      <w:color w:val="0000FF"/>
      <w:u w:val="single"/>
    </w:rPr>
  </w:style>
  <w:style w:type="paragraph" w:styleId="BodyText">
    <w:name w:val="Body Text"/>
    <w:link w:val="BodyTextChar"/>
    <w:uiPriority w:val="99"/>
    <w:unhideWhenUsed/>
    <w:rsid w:val="00115BC2"/>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115BC2"/>
    <w:rPr>
      <w:rFonts w:ascii="Calibri" w:hAnsi="Calibri" w:cs="Calibri"/>
      <w:color w:val="000000"/>
      <w:kern w:val="28"/>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663342">
      <w:bodyDiv w:val="1"/>
      <w:marLeft w:val="0"/>
      <w:marRight w:val="0"/>
      <w:marTop w:val="0"/>
      <w:marBottom w:val="0"/>
      <w:divBdr>
        <w:top w:val="none" w:sz="0" w:space="0" w:color="auto"/>
        <w:left w:val="none" w:sz="0" w:space="0" w:color="auto"/>
        <w:bottom w:val="none" w:sz="0" w:space="0" w:color="auto"/>
        <w:right w:val="none" w:sz="0" w:space="0" w:color="auto"/>
      </w:divBdr>
    </w:div>
    <w:div w:id="913665391">
      <w:bodyDiv w:val="1"/>
      <w:marLeft w:val="0"/>
      <w:marRight w:val="0"/>
      <w:marTop w:val="0"/>
      <w:marBottom w:val="0"/>
      <w:divBdr>
        <w:top w:val="none" w:sz="0" w:space="0" w:color="auto"/>
        <w:left w:val="none" w:sz="0" w:space="0" w:color="auto"/>
        <w:bottom w:val="none" w:sz="0" w:space="0" w:color="auto"/>
        <w:right w:val="none" w:sz="0" w:space="0" w:color="auto"/>
      </w:divBdr>
    </w:div>
    <w:div w:id="1573152082">
      <w:bodyDiv w:val="1"/>
      <w:marLeft w:val="0"/>
      <w:marRight w:val="0"/>
      <w:marTop w:val="0"/>
      <w:marBottom w:val="0"/>
      <w:divBdr>
        <w:top w:val="none" w:sz="0" w:space="0" w:color="auto"/>
        <w:left w:val="none" w:sz="0" w:space="0" w:color="auto"/>
        <w:bottom w:val="none" w:sz="0" w:space="0" w:color="auto"/>
        <w:right w:val="none" w:sz="0" w:space="0" w:color="auto"/>
      </w:divBdr>
    </w:div>
    <w:div w:id="1722362702">
      <w:bodyDiv w:val="1"/>
      <w:marLeft w:val="0"/>
      <w:marRight w:val="0"/>
      <w:marTop w:val="0"/>
      <w:marBottom w:val="0"/>
      <w:divBdr>
        <w:top w:val="none" w:sz="0" w:space="0" w:color="auto"/>
        <w:left w:val="none" w:sz="0" w:space="0" w:color="auto"/>
        <w:bottom w:val="none" w:sz="0" w:space="0" w:color="auto"/>
        <w:right w:val="none" w:sz="0" w:space="0" w:color="auto"/>
      </w:divBdr>
    </w:div>
    <w:div w:id="175836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ealthworkforcedata@health.gov.a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healthworkforcedata@health.gov.au" TargetMode="External"/><Relationship Id="rId5" Type="http://schemas.openxmlformats.org/officeDocument/2006/relationships/hyperlink" Target="mailto:copyright@health.gov.a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5</Pages>
  <Words>1644</Words>
  <Characters>9372</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10995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Jeffery Linda</dc:creator>
  <cp:lastModifiedBy>Jeffery Linda</cp:lastModifiedBy>
  <cp:revision>6</cp:revision>
  <dcterms:created xsi:type="dcterms:W3CDTF">2019-01-28T09:15:00Z</dcterms:created>
  <dcterms:modified xsi:type="dcterms:W3CDTF">2019-01-29T05:05:00Z</dcterms:modified>
</cp:coreProperties>
</file>